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07BDC" w14:textId="77777777" w:rsidR="00036E9E" w:rsidRDefault="00036E9E" w:rsidP="00A63AEE">
      <w:pPr>
        <w:pStyle w:val="Subtitle"/>
        <w:rPr>
          <w:rFonts w:ascii="Roboto Condensed Light" w:eastAsiaTheme="majorEastAsia" w:hAnsi="Roboto Condensed Light" w:cstheme="majorBidi"/>
          <w:color w:val="000000" w:themeColor="text1"/>
          <w:spacing w:val="-10"/>
          <w:kern w:val="28"/>
          <w:sz w:val="72"/>
          <w:szCs w:val="72"/>
        </w:rPr>
      </w:pPr>
      <w:bookmarkStart w:id="0" w:name="_Toc67477478"/>
      <w:bookmarkStart w:id="1" w:name="_Toc67317578"/>
      <w:r w:rsidRPr="00036E9E">
        <w:rPr>
          <w:rFonts w:ascii="Roboto Condensed Light" w:eastAsiaTheme="majorEastAsia" w:hAnsi="Roboto Condensed Light" w:cstheme="majorBidi"/>
          <w:color w:val="000000" w:themeColor="text1"/>
          <w:spacing w:val="-10"/>
          <w:kern w:val="28"/>
          <w:sz w:val="72"/>
          <w:szCs w:val="72"/>
        </w:rPr>
        <w:t>Liquid version of STOXX Global Select Dividend 100</w:t>
      </w:r>
    </w:p>
    <w:p w14:paraId="514E5648" w14:textId="3FFD6F1D" w:rsidR="001E2BA6" w:rsidRPr="00CB6344" w:rsidRDefault="008E51FD" w:rsidP="001E2BA6">
      <w:pPr>
        <w:pStyle w:val="Subtitle"/>
        <w:rPr>
          <w:rFonts w:eastAsia="SimHei"/>
          <w:lang w:eastAsia="zh-CN"/>
        </w:rPr>
      </w:pPr>
      <w:r>
        <w:rPr>
          <w:rFonts w:eastAsia="SimHei"/>
          <w:lang w:eastAsia="zh-CN"/>
        </w:rPr>
        <w:t>C</w:t>
      </w:r>
      <w:r>
        <w:rPr>
          <w:rFonts w:eastAsia="SimHei" w:hint="eastAsia"/>
          <w:lang w:eastAsia="zh-CN"/>
        </w:rPr>
        <w:t>apped by</w:t>
      </w:r>
      <w:r w:rsidR="00CB6344">
        <w:rPr>
          <w:rFonts w:eastAsia="SimHei" w:hint="eastAsia"/>
          <w:lang w:eastAsia="zh-CN"/>
        </w:rPr>
        <w:t xml:space="preserve"> </w:t>
      </w:r>
      <w:r w:rsidR="002B37D9">
        <w:rPr>
          <w:rFonts w:eastAsia="SimHei" w:hint="eastAsia"/>
          <w:lang w:eastAsia="zh-CN"/>
        </w:rPr>
        <w:t xml:space="preserve">ADTV </w:t>
      </w:r>
      <w:r w:rsidR="004105C6">
        <w:rPr>
          <w:rFonts w:eastAsia="SimHei" w:hint="eastAsia"/>
          <w:lang w:eastAsia="zh-CN"/>
        </w:rPr>
        <w:t>L</w:t>
      </w:r>
      <w:r w:rsidR="00CB6344">
        <w:rPr>
          <w:rFonts w:eastAsia="SimHei" w:hint="eastAsia"/>
          <w:lang w:eastAsia="zh-CN"/>
        </w:rPr>
        <w:t xml:space="preserve">iquidity </w:t>
      </w:r>
      <w:r w:rsidR="004105C6">
        <w:rPr>
          <w:rFonts w:eastAsia="SimHei" w:hint="eastAsia"/>
          <w:lang w:eastAsia="zh-CN"/>
        </w:rPr>
        <w:t>S</w:t>
      </w:r>
      <w:r w:rsidR="00CB6344">
        <w:rPr>
          <w:rFonts w:eastAsia="SimHei" w:hint="eastAsia"/>
          <w:lang w:eastAsia="zh-CN"/>
        </w:rPr>
        <w:t xml:space="preserve">creen </w:t>
      </w:r>
    </w:p>
    <w:p w14:paraId="593C7F0D" w14:textId="46FD288D" w:rsidR="00A63AEE" w:rsidRDefault="001E2BA6" w:rsidP="00A63AEE">
      <w:pPr>
        <w:rPr>
          <w:lang w:eastAsia="zh-CN"/>
        </w:rPr>
      </w:pPr>
      <w:r>
        <w:rPr>
          <w:rFonts w:hint="eastAsia"/>
          <w:b/>
          <w:bCs/>
          <w:lang w:eastAsia="zh-CN"/>
        </w:rPr>
        <w:t>Yuke Sun</w:t>
      </w:r>
      <w:r w:rsidR="00A63AEE" w:rsidRPr="0065222B">
        <w:t xml:space="preserve">, </w:t>
      </w:r>
      <w:r>
        <w:rPr>
          <w:rFonts w:hint="eastAsia"/>
          <w:lang w:eastAsia="zh-CN"/>
        </w:rPr>
        <w:t>Product Index</w:t>
      </w:r>
    </w:p>
    <w:p w14:paraId="7C4C2137" w14:textId="2FBE75B9" w:rsidR="005B59B6" w:rsidRDefault="005B59B6" w:rsidP="005B59B6">
      <w:pPr>
        <w:pStyle w:val="Heading1"/>
        <w:rPr>
          <w:lang w:eastAsia="zh-CN"/>
        </w:rPr>
      </w:pPr>
      <w:r>
        <w:rPr>
          <w:rFonts w:hint="eastAsia"/>
          <w:lang w:eastAsia="zh-CN"/>
        </w:rPr>
        <w:t>Overview</w:t>
      </w:r>
    </w:p>
    <w:p w14:paraId="1CE8A343" w14:textId="08F6CF69" w:rsidR="001E2BA6" w:rsidRDefault="00EA42AD" w:rsidP="00A63AEE">
      <w:pPr>
        <w:rPr>
          <w:lang w:eastAsia="zh-CN"/>
        </w:rPr>
      </w:pPr>
      <w:r>
        <w:rPr>
          <w:rFonts w:hint="eastAsia"/>
          <w:lang w:eastAsia="zh-CN"/>
        </w:rPr>
        <w:t>Universe: STOXX Global Select Dividend 100</w:t>
      </w:r>
    </w:p>
    <w:p w14:paraId="7F2C7FF8" w14:textId="14286B96" w:rsidR="00040CBD" w:rsidRDefault="005A28D8" w:rsidP="00A63AEE">
      <w:pPr>
        <w:rPr>
          <w:lang w:eastAsia="zh-CN"/>
        </w:rPr>
      </w:pPr>
      <w:r>
        <w:rPr>
          <w:rFonts w:hint="eastAsia"/>
          <w:lang w:eastAsia="zh-CN"/>
        </w:rPr>
        <w:t xml:space="preserve">Weighting scheme: </w:t>
      </w:r>
      <w:r w:rsidR="00D3619F">
        <w:rPr>
          <w:rFonts w:hint="eastAsia"/>
          <w:lang w:eastAsia="zh-CN"/>
        </w:rPr>
        <w:t xml:space="preserve">price-weighted, with </w:t>
      </w:r>
      <w:r w:rsidR="00B86904">
        <w:rPr>
          <w:rFonts w:hint="eastAsia"/>
          <w:lang w:eastAsia="zh-CN"/>
        </w:rPr>
        <w:t>the</w:t>
      </w:r>
      <w:r w:rsidR="00D3619F">
        <w:rPr>
          <w:rFonts w:hint="eastAsia"/>
          <w:lang w:eastAsia="zh-CN"/>
        </w:rPr>
        <w:t xml:space="preserve"> weighting factors</w:t>
      </w:r>
      <w:r w:rsidR="00B86904">
        <w:rPr>
          <w:rFonts w:hint="eastAsia"/>
          <w:lang w:eastAsia="zh-CN"/>
        </w:rPr>
        <w:t xml:space="preserve"> based on the dividend yield </w:t>
      </w:r>
    </w:p>
    <w:p w14:paraId="03514C05" w14:textId="3F5A3C2F" w:rsidR="005B59B6" w:rsidRDefault="005B59B6" w:rsidP="005B59B6">
      <w:pPr>
        <w:pStyle w:val="Heading1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iquidity Screen</w:t>
      </w:r>
    </w:p>
    <w:p w14:paraId="2A70E959" w14:textId="7B384FB6" w:rsidR="009F62B4" w:rsidRDefault="00936D9C" w:rsidP="00861E1E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 xml:space="preserve">Liquidity test: </w:t>
      </w:r>
      <w:r w:rsidR="00C82134">
        <w:rPr>
          <w:rFonts w:hint="eastAsia"/>
          <w:lang w:eastAsia="zh-CN"/>
        </w:rPr>
        <w:t>the l</w:t>
      </w:r>
      <w:r w:rsidR="00FA255D">
        <w:rPr>
          <w:rFonts w:hint="eastAsia"/>
          <w:lang w:eastAsia="zh-CN"/>
        </w:rPr>
        <w:t xml:space="preserve">iquidity test is performed </w:t>
      </w:r>
      <w:r w:rsidR="00E12995">
        <w:rPr>
          <w:lang w:eastAsia="zh-CN"/>
        </w:rPr>
        <w:t>based on</w:t>
      </w:r>
      <w:r w:rsidR="00FA255D">
        <w:rPr>
          <w:rFonts w:hint="eastAsia"/>
          <w:lang w:eastAsia="zh-CN"/>
        </w:rPr>
        <w:t xml:space="preserve"> </w:t>
      </w:r>
      <w:r w:rsidR="009F62B4">
        <w:rPr>
          <w:rFonts w:hint="eastAsia"/>
          <w:lang w:eastAsia="zh-CN"/>
        </w:rPr>
        <w:t xml:space="preserve">a reference portfolio with a nominal value of EUR 1bn. </w:t>
      </w:r>
      <w:r w:rsidR="00861E1E">
        <w:rPr>
          <w:lang w:eastAsia="zh-CN"/>
        </w:rPr>
        <w:t>Components pass this test if the amount to be allocated does not exceed 2.5 times the company’s average daily trading volume (ADTV)</w:t>
      </w:r>
    </w:p>
    <w:p w14:paraId="37F3A157" w14:textId="2C03BC3B" w:rsidR="00861E1E" w:rsidRDefault="00174C9A" w:rsidP="00174C9A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component which exceeds this threshold, </w:t>
      </w:r>
      <w:r w:rsidR="00861E1E">
        <w:rPr>
          <w:lang w:eastAsia="zh-CN"/>
        </w:rPr>
        <w:t>a weight cap of 2.5 times the company’s three-month ADTV is applied</w:t>
      </w:r>
      <w:r>
        <w:rPr>
          <w:rFonts w:hint="eastAsia"/>
          <w:lang w:eastAsia="zh-CN"/>
        </w:rPr>
        <w:t xml:space="preserve">. </w:t>
      </w:r>
    </w:p>
    <w:p w14:paraId="3A3C2EAD" w14:textId="4E183B1E" w:rsidR="00174C9A" w:rsidRPr="00EA42AD" w:rsidRDefault="00174C9A" w:rsidP="00174C9A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Then, increase</w:t>
      </w:r>
      <w:r w:rsidR="006B362A">
        <w:rPr>
          <w:rFonts w:hint="eastAsia"/>
          <w:lang w:eastAsia="zh-CN"/>
        </w:rPr>
        <w:t xml:space="preserve"> the weight</w:t>
      </w:r>
      <w:r w:rsidR="0048671B">
        <w:rPr>
          <w:rFonts w:hint="eastAsia"/>
          <w:lang w:eastAsia="zh-CN"/>
        </w:rPr>
        <w:t>s</w:t>
      </w:r>
      <w:r w:rsidR="006B362A">
        <w:rPr>
          <w:rFonts w:hint="eastAsia"/>
          <w:lang w:eastAsia="zh-CN"/>
        </w:rPr>
        <w:t xml:space="preserve"> </w:t>
      </w:r>
      <w:r w:rsidR="0048671B">
        <w:rPr>
          <w:rFonts w:hint="eastAsia"/>
          <w:lang w:eastAsia="zh-CN"/>
        </w:rPr>
        <w:t xml:space="preserve">in proportion of their original weights </w:t>
      </w:r>
      <w:proofErr w:type="gramStart"/>
      <w:r w:rsidR="0048671B">
        <w:rPr>
          <w:rFonts w:hint="eastAsia"/>
          <w:lang w:eastAsia="zh-CN"/>
        </w:rPr>
        <w:t>in order to</w:t>
      </w:r>
      <w:proofErr w:type="gramEnd"/>
      <w:r w:rsidR="0048671B">
        <w:rPr>
          <w:rFonts w:hint="eastAsia"/>
          <w:lang w:eastAsia="zh-CN"/>
        </w:rPr>
        <w:t xml:space="preserve"> make up for the reduced</w:t>
      </w:r>
      <w:r w:rsidR="005A380F">
        <w:rPr>
          <w:rFonts w:hint="eastAsia"/>
          <w:lang w:eastAsia="zh-CN"/>
        </w:rPr>
        <w:t xml:space="preserve"> weight caused by weight capping </w:t>
      </w:r>
    </w:p>
    <w:p w14:paraId="38E707E0" w14:textId="77777777" w:rsidR="007E7FEB" w:rsidRDefault="007E7FEB" w:rsidP="00CA2726">
      <w:pPr>
        <w:rPr>
          <w:b/>
          <w:bCs/>
          <w:sz w:val="22"/>
          <w:szCs w:val="22"/>
        </w:rPr>
      </w:pPr>
    </w:p>
    <w:p w14:paraId="51ABF875" w14:textId="77777777" w:rsidR="007E7FEB" w:rsidRDefault="007E7FEB" w:rsidP="00CA2726">
      <w:pPr>
        <w:rPr>
          <w:b/>
          <w:bCs/>
          <w:sz w:val="22"/>
          <w:szCs w:val="22"/>
        </w:rPr>
      </w:pPr>
    </w:p>
    <w:p w14:paraId="18EF4F90" w14:textId="77777777" w:rsidR="007E7FEB" w:rsidRDefault="007E7FEB" w:rsidP="00CA2726">
      <w:pPr>
        <w:rPr>
          <w:b/>
          <w:bCs/>
          <w:sz w:val="22"/>
          <w:szCs w:val="22"/>
        </w:rPr>
      </w:pPr>
    </w:p>
    <w:bookmarkEnd w:id="0"/>
    <w:bookmarkEnd w:id="1"/>
    <w:p w14:paraId="79A7C4D6" w14:textId="149BF744" w:rsidR="00596CF0" w:rsidRDefault="00596CF0" w:rsidP="00CA2726">
      <w:pPr>
        <w:rPr>
          <w:b/>
          <w:bCs/>
          <w:sz w:val="22"/>
          <w:szCs w:val="22"/>
        </w:rPr>
      </w:pPr>
    </w:p>
    <w:p w14:paraId="3F7AC7E4" w14:textId="77777777" w:rsidR="007E7FEB" w:rsidRPr="007E7FEB" w:rsidRDefault="007E7FEB" w:rsidP="007E7FEB">
      <w:pPr>
        <w:rPr>
          <w:sz w:val="22"/>
          <w:szCs w:val="22"/>
        </w:rPr>
      </w:pPr>
    </w:p>
    <w:p w14:paraId="6B43C35E" w14:textId="77777777" w:rsidR="007E7FEB" w:rsidRPr="007E7FEB" w:rsidRDefault="007E7FEB" w:rsidP="007E7FEB">
      <w:pPr>
        <w:rPr>
          <w:sz w:val="22"/>
          <w:szCs w:val="22"/>
        </w:rPr>
      </w:pPr>
    </w:p>
    <w:p w14:paraId="3443D42C" w14:textId="77777777" w:rsidR="007E7FEB" w:rsidRPr="007E7FEB" w:rsidRDefault="007E7FEB" w:rsidP="007E7FEB">
      <w:pPr>
        <w:rPr>
          <w:sz w:val="22"/>
          <w:szCs w:val="22"/>
        </w:rPr>
      </w:pPr>
    </w:p>
    <w:p w14:paraId="1A9D2A49" w14:textId="77777777" w:rsidR="007E7FEB" w:rsidRPr="007E7FEB" w:rsidRDefault="007E7FEB" w:rsidP="007E7FEB">
      <w:pPr>
        <w:rPr>
          <w:sz w:val="22"/>
          <w:szCs w:val="22"/>
        </w:rPr>
      </w:pPr>
    </w:p>
    <w:p w14:paraId="6AAF14B4" w14:textId="77777777" w:rsidR="00596CF0" w:rsidRPr="007E7FEB" w:rsidRDefault="00596CF0" w:rsidP="007F24AA">
      <w:pPr>
        <w:ind w:right="880"/>
        <w:rPr>
          <w:sz w:val="22"/>
          <w:szCs w:val="22"/>
        </w:rPr>
      </w:pPr>
    </w:p>
    <w:sectPr w:rsidR="00596CF0" w:rsidRPr="007E7FEB" w:rsidSect="00871053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296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F8B00" w14:textId="77777777" w:rsidR="00B50B9F" w:rsidRDefault="00B50B9F" w:rsidP="00E33BDF">
      <w:pPr>
        <w:spacing w:line="240" w:lineRule="auto"/>
      </w:pPr>
      <w:r>
        <w:separator/>
      </w:r>
    </w:p>
    <w:p w14:paraId="64147A41" w14:textId="77777777" w:rsidR="00B50B9F" w:rsidRDefault="00B50B9F"/>
  </w:endnote>
  <w:endnote w:type="continuationSeparator" w:id="0">
    <w:p w14:paraId="097D63CB" w14:textId="77777777" w:rsidR="00B50B9F" w:rsidRDefault="00B50B9F" w:rsidP="00E33BDF">
      <w:pPr>
        <w:spacing w:line="240" w:lineRule="auto"/>
      </w:pPr>
      <w:r>
        <w:continuationSeparator/>
      </w:r>
    </w:p>
    <w:p w14:paraId="2A6A1420" w14:textId="77777777" w:rsidR="00B50B9F" w:rsidRDefault="00B50B9F"/>
  </w:endnote>
  <w:endnote w:type="continuationNotice" w:id="1">
    <w:p w14:paraId="1914BBD7" w14:textId="77777777" w:rsidR="00B50B9F" w:rsidRDefault="00B50B9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EAA1D" w14:textId="32DF5355" w:rsidR="00901E86" w:rsidRPr="00061E42" w:rsidRDefault="00AA617C" w:rsidP="00061E42">
    <w:pPr>
      <w:tabs>
        <w:tab w:val="left" w:pos="3030"/>
        <w:tab w:val="right" w:pos="9360"/>
      </w:tabs>
      <w:spacing w:before="0" w:after="180"/>
      <w:rPr>
        <w:color w:val="auto"/>
      </w:rPr>
    </w:pPr>
    <w:r>
      <w:rPr>
        <w:noProof/>
        <w:color w:val="auto"/>
      </w:rPr>
      <w:drawing>
        <wp:anchor distT="0" distB="0" distL="114300" distR="114300" simplePos="0" relativeHeight="251658240" behindDoc="0" locked="0" layoutInCell="1" allowOverlap="1" wp14:anchorId="0A434B12" wp14:editId="502CCE50">
          <wp:simplePos x="0" y="0"/>
          <wp:positionH relativeFrom="column">
            <wp:posOffset>5164455</wp:posOffset>
          </wp:positionH>
          <wp:positionV relativeFrom="paragraph">
            <wp:posOffset>-105410</wp:posOffset>
          </wp:positionV>
          <wp:extent cx="849630" cy="359074"/>
          <wp:effectExtent l="0" t="0" r="0" b="0"/>
          <wp:wrapNone/>
          <wp:docPr id="1519096614" name="Picture 1" descr="A blue and grey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9096614" name="Picture 1" descr="A blue and grey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35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E42" w:rsidRPr="00061E42">
      <w:rPr>
        <w:noProof/>
        <w:color w:val="auto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F9D7C34" wp14:editId="578F00CC">
              <wp:simplePos x="0" y="0"/>
              <wp:positionH relativeFrom="margin">
                <wp:align>left</wp:align>
              </wp:positionH>
              <wp:positionV relativeFrom="paragraph">
                <wp:posOffset>-52365</wp:posOffset>
              </wp:positionV>
              <wp:extent cx="2863850" cy="180753"/>
              <wp:effectExtent l="0" t="0" r="0" b="0"/>
              <wp:wrapNone/>
              <wp:docPr id="2" name="Footer Placeholde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3850" cy="18075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A6E0816" w14:textId="4120A8C9" w:rsidR="00061E42" w:rsidRPr="00790C70" w:rsidRDefault="00061E42" w:rsidP="00226CA0">
                          <w:pPr>
                            <w:pStyle w:val="Footer"/>
                          </w:pPr>
                          <w:r w:rsidRPr="00790C70">
                            <w:t>Copyright ©</w:t>
                          </w:r>
                          <w:r w:rsidR="00426B67">
                            <w:fldChar w:fldCharType="begin"/>
                          </w:r>
                          <w:r w:rsidR="00426B67">
                            <w:instrText xml:space="preserve"> DATE \@ "yyyy" \* MERGEFORMAT </w:instrText>
                          </w:r>
                          <w:r w:rsidR="00426B67">
                            <w:fldChar w:fldCharType="separate"/>
                          </w:r>
                          <w:r w:rsidR="00E12995">
                            <w:rPr>
                              <w:noProof/>
                            </w:rPr>
                            <w:t>2025</w:t>
                          </w:r>
                          <w:r w:rsidR="00426B67">
                            <w:fldChar w:fldCharType="end"/>
                          </w:r>
                          <w:r w:rsidR="00426B67">
                            <w:t xml:space="preserve">. </w:t>
                          </w:r>
                          <w:r w:rsidR="00C5175D">
                            <w:t>STOXX</w:t>
                          </w:r>
                          <w:r w:rsidRPr="00790C70">
                            <w:t xml:space="preserve"> </w:t>
                          </w:r>
                          <w:r w:rsidR="00C5175D">
                            <w:t>Ltd</w:t>
                          </w:r>
                          <w:r w:rsidRPr="00790C70">
                            <w:t>.</w:t>
                          </w:r>
                        </w:p>
                      </w:txbxContent>
                    </wps:txbx>
                    <wps:bodyPr vert="horz" wrap="square" lIns="0" tIns="0" rIns="0" bIns="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7C34" id="_x0000_t202" coordsize="21600,21600" o:spt="202" path="m,l,21600r21600,l21600,xe">
              <v:stroke joinstyle="miter"/>
              <v:path gradientshapeok="t" o:connecttype="rect"/>
            </v:shapetype>
            <v:shape id="Footer Placeholder 3" o:spid="_x0000_s1026" type="#_x0000_t202" style="position:absolute;margin-left:0;margin-top:-4.1pt;width:225.5pt;height:14.2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" filled="f" stroked="f">
              <v:textbox inset="0,0,0,0">
                <w:txbxContent>
                  <w:p w14:paraId="2A6E0816" w14:textId="4120A8C9" w:rsidR="00061E42" w:rsidRPr="00790C70" w:rsidRDefault="00061E42" w:rsidP="00226CA0">
                    <w:pPr>
                      <w:pStyle w:val="Footer"/>
                    </w:pPr>
                    <w:r w:rsidRPr="00790C70">
                      <w:t>Copyright ©</w:t>
                    </w:r>
                    <w:r w:rsidR="00426B67">
                      <w:fldChar w:fldCharType="begin"/>
                    </w:r>
                    <w:r w:rsidR="00426B67">
                      <w:instrText xml:space="preserve"> DATE \@ "yyyy" \* MERGEFORMAT </w:instrText>
                    </w:r>
                    <w:r w:rsidR="00426B67">
                      <w:fldChar w:fldCharType="separate"/>
                    </w:r>
                    <w:r w:rsidR="00E12995">
                      <w:rPr>
                        <w:noProof/>
                      </w:rPr>
                      <w:t>2025</w:t>
                    </w:r>
                    <w:r w:rsidR="00426B67">
                      <w:fldChar w:fldCharType="end"/>
                    </w:r>
                    <w:r w:rsidR="00426B67">
                      <w:t xml:space="preserve">. </w:t>
                    </w:r>
                    <w:r w:rsidR="00C5175D">
                      <w:t>STOXX</w:t>
                    </w:r>
                    <w:r w:rsidRPr="00790C70">
                      <w:t xml:space="preserve"> </w:t>
                    </w:r>
                    <w:r w:rsidR="00C5175D">
                      <w:t>Ltd</w:t>
                    </w:r>
                    <w:r w:rsidRPr="00790C70"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61E42" w:rsidRPr="00061E42">
      <w:rPr>
        <w:color w:val="auto"/>
      </w:rPr>
      <w:tab/>
    </w:r>
    <w:r w:rsidR="00061E42" w:rsidRPr="00061E42">
      <w:rPr>
        <w:color w:val="auto"/>
      </w:rPr>
      <w:tab/>
    </w:r>
    <w:r w:rsidR="00061E42" w:rsidRPr="00061E42">
      <w:rPr>
        <w:noProof/>
        <w:color w:val="auto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E9A1771" wp14:editId="38821308">
              <wp:simplePos x="0" y="0"/>
              <wp:positionH relativeFrom="column">
                <wp:posOffset>0</wp:posOffset>
              </wp:positionH>
              <wp:positionV relativeFrom="paragraph">
                <wp:posOffset>-139065</wp:posOffset>
              </wp:positionV>
              <wp:extent cx="5937250" cy="0"/>
              <wp:effectExtent l="0" t="0" r="635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545659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4715F4" id="Straight Connector 3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0.95pt" to="467.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" strokecolor="#545659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9D822" w14:textId="2E9FDBA2" w:rsidR="00901E86" w:rsidRDefault="008114FF" w:rsidP="00226CA0">
    <w:pPr>
      <w:pStyle w:val="Foot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2B02EDCE" wp14:editId="0CB8F51C">
          <wp:simplePos x="0" y="0"/>
          <wp:positionH relativeFrom="column">
            <wp:posOffset>-80645</wp:posOffset>
          </wp:positionH>
          <wp:positionV relativeFrom="paragraph">
            <wp:posOffset>-561340</wp:posOffset>
          </wp:positionV>
          <wp:extent cx="1395586" cy="589915"/>
          <wp:effectExtent l="0" t="0" r="0" b="0"/>
          <wp:wrapNone/>
          <wp:docPr id="1456924945" name="Picture 1" descr="A blue and grey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4936227" name="Picture 1" descr="A blue and grey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586" cy="589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6493F">
      <w:rPr>
        <w:noProof/>
      </w:rPr>
      <w:drawing>
        <wp:anchor distT="0" distB="0" distL="114300" distR="114300" simplePos="0" relativeHeight="251658243" behindDoc="0" locked="0" layoutInCell="1" allowOverlap="1" wp14:anchorId="47FCA0AA" wp14:editId="45B9B2FD">
          <wp:simplePos x="0" y="0"/>
          <wp:positionH relativeFrom="margin">
            <wp:posOffset>4560473</wp:posOffset>
          </wp:positionH>
          <wp:positionV relativeFrom="page">
            <wp:posOffset>9314597</wp:posOffset>
          </wp:positionV>
          <wp:extent cx="1378247" cy="473198"/>
          <wp:effectExtent l="0" t="0" r="0" b="3175"/>
          <wp:wrapNone/>
          <wp:docPr id="767728729" name="Picture 2" descr="A logo with a check 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6183589" name="Picture 2" descr="A logo with a check mark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000" cy="478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3D2C7" w14:textId="77777777" w:rsidR="00B50B9F" w:rsidRDefault="00B50B9F" w:rsidP="00E33BDF">
      <w:pPr>
        <w:spacing w:line="240" w:lineRule="auto"/>
      </w:pPr>
      <w:r>
        <w:separator/>
      </w:r>
    </w:p>
    <w:p w14:paraId="167A1E4C" w14:textId="77777777" w:rsidR="00B50B9F" w:rsidRDefault="00B50B9F"/>
  </w:footnote>
  <w:footnote w:type="continuationSeparator" w:id="0">
    <w:p w14:paraId="371C7CD6" w14:textId="77777777" w:rsidR="00B50B9F" w:rsidRDefault="00B50B9F" w:rsidP="00E33BDF">
      <w:pPr>
        <w:spacing w:line="240" w:lineRule="auto"/>
      </w:pPr>
      <w:r>
        <w:continuationSeparator/>
      </w:r>
    </w:p>
    <w:p w14:paraId="5AEDF0D6" w14:textId="77777777" w:rsidR="00B50B9F" w:rsidRDefault="00B50B9F"/>
  </w:footnote>
  <w:footnote w:type="continuationNotice" w:id="1">
    <w:p w14:paraId="46DEB7B4" w14:textId="77777777" w:rsidR="00B50B9F" w:rsidRDefault="00B50B9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2761298"/>
      <w:docPartObj>
        <w:docPartGallery w:val="Page Numbers (Top of Page)"/>
        <w:docPartUnique/>
      </w:docPartObj>
    </w:sdtPr>
    <w:sdtContent>
      <w:p w14:paraId="1004AF85" w14:textId="77777777" w:rsidR="00901E86" w:rsidRDefault="00901E86" w:rsidP="00DF5B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E4CD9" w14:textId="77777777" w:rsidR="00901E86" w:rsidRDefault="00901E86" w:rsidP="005257A4">
    <w:pPr>
      <w:pStyle w:val="Header"/>
      <w:ind w:right="360"/>
    </w:pPr>
  </w:p>
  <w:p w14:paraId="6B66D7E7" w14:textId="77777777" w:rsidR="00F3375E" w:rsidRDefault="00F3375E"/>
  <w:p w14:paraId="7B9A6271" w14:textId="77777777" w:rsidR="007F527A" w:rsidRDefault="007F527A"/>
  <w:p w14:paraId="465C0641" w14:textId="77777777" w:rsidR="007F527A" w:rsidRDefault="007F527A"/>
  <w:p w14:paraId="419B08FF" w14:textId="77777777" w:rsidR="007F527A" w:rsidRDefault="007F52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3589938"/>
      <w:docPartObj>
        <w:docPartGallery w:val="Page Numbers (Top of Page)"/>
        <w:docPartUnique/>
      </w:docPartObj>
    </w:sdtPr>
    <w:sdtContent>
      <w:p w14:paraId="33746CCE" w14:textId="77777777" w:rsidR="00DF5BC6" w:rsidRDefault="00DF5BC6" w:rsidP="003B4F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47EE29F" w14:textId="3F2BA2A5" w:rsidR="00901E86" w:rsidRDefault="009F4643" w:rsidP="00C823D4">
    <w:pPr>
      <w:pStyle w:val="Header"/>
      <w:tabs>
        <w:tab w:val="clear" w:pos="4680"/>
        <w:tab w:val="clear" w:pos="9360"/>
        <w:tab w:val="left" w:pos="7078"/>
      </w:tabs>
    </w:pPr>
    <w:r w:rsidRPr="009F4643">
      <w:t>What Are the Odds?</w:t>
    </w:r>
    <w:r w:rsidR="00901E86">
      <w:tab/>
    </w:r>
  </w:p>
  <w:p w14:paraId="62C8A1AF" w14:textId="77777777" w:rsidR="00F3375E" w:rsidRDefault="00F3375E"/>
  <w:p w14:paraId="37F4889E" w14:textId="77777777" w:rsidR="007F527A" w:rsidRDefault="007F527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488B7" w14:textId="373365A6" w:rsidR="00901E86" w:rsidRPr="00E45C4A" w:rsidRDefault="008114FF" w:rsidP="00E45C4A">
    <w:pPr>
      <w:pStyle w:val="Header"/>
    </w:pPr>
    <w:r>
      <w:t>FEBRUARY</w:t>
    </w:r>
    <w:r w:rsidR="00341FD7">
      <w:t xml:space="preserve"> 202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D406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0E69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F2E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02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4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26C8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2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F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0CB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443756"/>
    <w:lvl w:ilvl="0">
      <w:start w:val="1"/>
      <w:numFmt w:val="bullet"/>
      <w:pStyle w:val="ListBullet"/>
      <w:lvlText w:val="&gt;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FA34E5"/>
    <w:multiLevelType w:val="hybridMultilevel"/>
    <w:tmpl w:val="0D1C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B6FA3"/>
    <w:multiLevelType w:val="hybridMultilevel"/>
    <w:tmpl w:val="016E59F2"/>
    <w:lvl w:ilvl="0" w:tplc="334422EE">
      <w:start w:val="1"/>
      <w:numFmt w:val="bullet"/>
      <w:pStyle w:val="ListParagraph"/>
      <w:lvlText w:val="&gt;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56310B"/>
    <w:multiLevelType w:val="hybridMultilevel"/>
    <w:tmpl w:val="566A9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5B580B"/>
    <w:multiLevelType w:val="hybridMultilevel"/>
    <w:tmpl w:val="DA3C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43343"/>
    <w:multiLevelType w:val="hybridMultilevel"/>
    <w:tmpl w:val="953E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96326"/>
    <w:multiLevelType w:val="hybridMultilevel"/>
    <w:tmpl w:val="CB064FAE"/>
    <w:lvl w:ilvl="0" w:tplc="41802DE2">
      <w:start w:val="1"/>
      <w:numFmt w:val="bullet"/>
      <w:pStyle w:val="ListBullet2"/>
      <w:lvlText w:val="&gt;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894163B"/>
    <w:multiLevelType w:val="hybridMultilevel"/>
    <w:tmpl w:val="9B8CD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7D325D"/>
    <w:multiLevelType w:val="hybridMultilevel"/>
    <w:tmpl w:val="ED40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80043"/>
    <w:multiLevelType w:val="hybridMultilevel"/>
    <w:tmpl w:val="0D944EEC"/>
    <w:lvl w:ilvl="0" w:tplc="44641C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F054D"/>
    <w:multiLevelType w:val="hybridMultilevel"/>
    <w:tmpl w:val="026AECD0"/>
    <w:lvl w:ilvl="0" w:tplc="8DBA8D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C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806759"/>
    <w:multiLevelType w:val="hybridMultilevel"/>
    <w:tmpl w:val="04603A7A"/>
    <w:lvl w:ilvl="0" w:tplc="742A06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83E6E"/>
    <w:multiLevelType w:val="hybridMultilevel"/>
    <w:tmpl w:val="EBC228EE"/>
    <w:lvl w:ilvl="0" w:tplc="7C5A1BE2">
      <w:start w:val="7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01DFF"/>
    <w:multiLevelType w:val="hybridMultilevel"/>
    <w:tmpl w:val="1362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8137F"/>
    <w:multiLevelType w:val="hybridMultilevel"/>
    <w:tmpl w:val="4E64CAA4"/>
    <w:lvl w:ilvl="0" w:tplc="C9461DD2">
      <w:start w:val="1"/>
      <w:numFmt w:val="bullet"/>
      <w:lvlText w:val="&gt;"/>
      <w:lvlJc w:val="left"/>
      <w:pPr>
        <w:ind w:left="1080" w:hanging="360"/>
      </w:pPr>
      <w:rPr>
        <w:rFonts w:ascii="Symbol" w:hAnsi="Symbol" w:hint="default"/>
        <w:color w:val="0070CC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A0E66"/>
    <w:multiLevelType w:val="hybridMultilevel"/>
    <w:tmpl w:val="E8F22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86FC8"/>
    <w:multiLevelType w:val="hybridMultilevel"/>
    <w:tmpl w:val="54F4A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427B5"/>
    <w:multiLevelType w:val="hybridMultilevel"/>
    <w:tmpl w:val="E9A8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441"/>
    <w:multiLevelType w:val="hybridMultilevel"/>
    <w:tmpl w:val="3612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04053"/>
    <w:multiLevelType w:val="hybridMultilevel"/>
    <w:tmpl w:val="B0425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E57DB"/>
    <w:multiLevelType w:val="hybridMultilevel"/>
    <w:tmpl w:val="24D8C934"/>
    <w:lvl w:ilvl="0" w:tplc="19C895EC">
      <w:start w:val="1"/>
      <w:numFmt w:val="decimal"/>
      <w:lvlText w:val="%1."/>
      <w:lvlJc w:val="left"/>
      <w:pPr>
        <w:ind w:left="720" w:hanging="360"/>
      </w:pPr>
      <w:rPr>
        <w:rFonts w:ascii="Roboto Condensed Light" w:hAnsi="Roboto Condensed Light" w:hint="default"/>
        <w:color w:val="0072CE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044AB"/>
    <w:multiLevelType w:val="hybridMultilevel"/>
    <w:tmpl w:val="4A144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21B73"/>
    <w:multiLevelType w:val="hybridMultilevel"/>
    <w:tmpl w:val="9E62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5692C"/>
    <w:multiLevelType w:val="hybridMultilevel"/>
    <w:tmpl w:val="1606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3432E"/>
    <w:multiLevelType w:val="hybridMultilevel"/>
    <w:tmpl w:val="1FCC5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A4D19"/>
    <w:multiLevelType w:val="hybridMultilevel"/>
    <w:tmpl w:val="0C9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14C8F"/>
    <w:multiLevelType w:val="hybridMultilevel"/>
    <w:tmpl w:val="82684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C5C4D"/>
    <w:multiLevelType w:val="hybridMultilevel"/>
    <w:tmpl w:val="44003064"/>
    <w:lvl w:ilvl="0" w:tplc="B79A404E">
      <w:start w:val="1"/>
      <w:numFmt w:val="bullet"/>
      <w:pStyle w:val="TOC2"/>
      <w:lvlText w:val="&gt;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56B56"/>
    <w:multiLevelType w:val="hybridMultilevel"/>
    <w:tmpl w:val="34C24478"/>
    <w:lvl w:ilvl="0" w:tplc="14D81884">
      <w:start w:val="1"/>
      <w:numFmt w:val="bullet"/>
      <w:lvlText w:val="&gt;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D0728"/>
    <w:multiLevelType w:val="hybridMultilevel"/>
    <w:tmpl w:val="9A123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34DD0"/>
    <w:multiLevelType w:val="hybridMultilevel"/>
    <w:tmpl w:val="CFF2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B7F0E"/>
    <w:multiLevelType w:val="hybridMultilevel"/>
    <w:tmpl w:val="30741C84"/>
    <w:lvl w:ilvl="0" w:tplc="06AE913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44FF0"/>
    <w:multiLevelType w:val="hybridMultilevel"/>
    <w:tmpl w:val="A1EA309E"/>
    <w:lvl w:ilvl="0" w:tplc="11DC6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623D8"/>
    <w:multiLevelType w:val="hybridMultilevel"/>
    <w:tmpl w:val="936C2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45022">
    <w:abstractNumId w:val="11"/>
  </w:num>
  <w:num w:numId="2" w16cid:durableId="328558112">
    <w:abstractNumId w:val="0"/>
  </w:num>
  <w:num w:numId="3" w16cid:durableId="1378310329">
    <w:abstractNumId w:val="1"/>
  </w:num>
  <w:num w:numId="4" w16cid:durableId="910236561">
    <w:abstractNumId w:val="2"/>
  </w:num>
  <w:num w:numId="5" w16cid:durableId="424885348">
    <w:abstractNumId w:val="3"/>
  </w:num>
  <w:num w:numId="6" w16cid:durableId="571699278">
    <w:abstractNumId w:val="8"/>
  </w:num>
  <w:num w:numId="7" w16cid:durableId="861747561">
    <w:abstractNumId w:val="4"/>
  </w:num>
  <w:num w:numId="8" w16cid:durableId="3017841">
    <w:abstractNumId w:val="5"/>
  </w:num>
  <w:num w:numId="9" w16cid:durableId="94862037">
    <w:abstractNumId w:val="6"/>
  </w:num>
  <w:num w:numId="10" w16cid:durableId="1886596251">
    <w:abstractNumId w:val="7"/>
  </w:num>
  <w:num w:numId="11" w16cid:durableId="544146243">
    <w:abstractNumId w:val="9"/>
  </w:num>
  <w:num w:numId="12" w16cid:durableId="167329336">
    <w:abstractNumId w:val="19"/>
  </w:num>
  <w:num w:numId="13" w16cid:durableId="1531335792">
    <w:abstractNumId w:val="23"/>
  </w:num>
  <w:num w:numId="14" w16cid:durableId="1325205611">
    <w:abstractNumId w:val="15"/>
  </w:num>
  <w:num w:numId="15" w16cid:durableId="650017663">
    <w:abstractNumId w:val="37"/>
  </w:num>
  <w:num w:numId="16" w16cid:durableId="1992753572">
    <w:abstractNumId w:val="31"/>
  </w:num>
  <w:num w:numId="17" w16cid:durableId="725565677">
    <w:abstractNumId w:val="14"/>
  </w:num>
  <w:num w:numId="18" w16cid:durableId="1852721789">
    <w:abstractNumId w:val="34"/>
  </w:num>
  <w:num w:numId="19" w16cid:durableId="1761758374">
    <w:abstractNumId w:val="32"/>
  </w:num>
  <w:num w:numId="20" w16cid:durableId="52506475">
    <w:abstractNumId w:val="39"/>
  </w:num>
  <w:num w:numId="21" w16cid:durableId="907153678">
    <w:abstractNumId w:val="41"/>
  </w:num>
  <w:num w:numId="22" w16cid:durableId="2052219449">
    <w:abstractNumId w:val="24"/>
  </w:num>
  <w:num w:numId="23" w16cid:durableId="1225094913">
    <w:abstractNumId w:val="17"/>
  </w:num>
  <w:num w:numId="24" w16cid:durableId="1049299915">
    <w:abstractNumId w:val="29"/>
  </w:num>
  <w:num w:numId="25" w16cid:durableId="8719370">
    <w:abstractNumId w:val="10"/>
  </w:num>
  <w:num w:numId="26" w16cid:durableId="131485725">
    <w:abstractNumId w:val="26"/>
  </w:num>
  <w:num w:numId="27" w16cid:durableId="1478261798">
    <w:abstractNumId w:val="12"/>
  </w:num>
  <w:num w:numId="28" w16cid:durableId="652026689">
    <w:abstractNumId w:val="38"/>
  </w:num>
  <w:num w:numId="29" w16cid:durableId="1385517842">
    <w:abstractNumId w:val="13"/>
  </w:num>
  <w:num w:numId="30" w16cid:durableId="150945408">
    <w:abstractNumId w:val="27"/>
  </w:num>
  <w:num w:numId="31" w16cid:durableId="1185900330">
    <w:abstractNumId w:val="22"/>
  </w:num>
  <w:num w:numId="32" w16cid:durableId="1825197507">
    <w:abstractNumId w:val="33"/>
  </w:num>
  <w:num w:numId="33" w16cid:durableId="1261838401">
    <w:abstractNumId w:val="40"/>
  </w:num>
  <w:num w:numId="34" w16cid:durableId="583149774">
    <w:abstractNumId w:val="20"/>
  </w:num>
  <w:num w:numId="35" w16cid:durableId="877855045">
    <w:abstractNumId w:val="42"/>
  </w:num>
  <w:num w:numId="36" w16cid:durableId="1850100642">
    <w:abstractNumId w:val="35"/>
  </w:num>
  <w:num w:numId="37" w16cid:durableId="744033467">
    <w:abstractNumId w:val="16"/>
  </w:num>
  <w:num w:numId="38" w16cid:durableId="1993488944">
    <w:abstractNumId w:val="30"/>
  </w:num>
  <w:num w:numId="39" w16cid:durableId="16277242">
    <w:abstractNumId w:val="28"/>
  </w:num>
  <w:num w:numId="40" w16cid:durableId="190655952">
    <w:abstractNumId w:val="36"/>
  </w:num>
  <w:num w:numId="41" w16cid:durableId="1023748233">
    <w:abstractNumId w:val="21"/>
  </w:num>
  <w:num w:numId="42" w16cid:durableId="1384327615">
    <w:abstractNumId w:val="18"/>
  </w:num>
  <w:num w:numId="43" w16cid:durableId="7947570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94"/>
    <w:rsid w:val="00007D1C"/>
    <w:rsid w:val="00011128"/>
    <w:rsid w:val="000128A6"/>
    <w:rsid w:val="00014BD2"/>
    <w:rsid w:val="00027958"/>
    <w:rsid w:val="00036E9E"/>
    <w:rsid w:val="00040CBD"/>
    <w:rsid w:val="000451AA"/>
    <w:rsid w:val="000472AF"/>
    <w:rsid w:val="00055D27"/>
    <w:rsid w:val="00061E42"/>
    <w:rsid w:val="00067DBA"/>
    <w:rsid w:val="00074E18"/>
    <w:rsid w:val="000768AB"/>
    <w:rsid w:val="000803F9"/>
    <w:rsid w:val="00081B17"/>
    <w:rsid w:val="00082396"/>
    <w:rsid w:val="00082CE2"/>
    <w:rsid w:val="00085C0E"/>
    <w:rsid w:val="00095503"/>
    <w:rsid w:val="000A4ED4"/>
    <w:rsid w:val="000B5A43"/>
    <w:rsid w:val="000B69D8"/>
    <w:rsid w:val="000C2B15"/>
    <w:rsid w:val="000C4B5E"/>
    <w:rsid w:val="000C5EEC"/>
    <w:rsid w:val="000D12BC"/>
    <w:rsid w:val="000E117C"/>
    <w:rsid w:val="000F4B56"/>
    <w:rsid w:val="000F59E6"/>
    <w:rsid w:val="00102727"/>
    <w:rsid w:val="00103C95"/>
    <w:rsid w:val="0010466F"/>
    <w:rsid w:val="001067F0"/>
    <w:rsid w:val="0011149A"/>
    <w:rsid w:val="00123705"/>
    <w:rsid w:val="00137540"/>
    <w:rsid w:val="00140995"/>
    <w:rsid w:val="00146C74"/>
    <w:rsid w:val="00164642"/>
    <w:rsid w:val="00166AF3"/>
    <w:rsid w:val="00171FEB"/>
    <w:rsid w:val="00172F14"/>
    <w:rsid w:val="00174C9A"/>
    <w:rsid w:val="00174F46"/>
    <w:rsid w:val="00176144"/>
    <w:rsid w:val="001878A7"/>
    <w:rsid w:val="001976F3"/>
    <w:rsid w:val="001A213B"/>
    <w:rsid w:val="001B71AD"/>
    <w:rsid w:val="001C05D9"/>
    <w:rsid w:val="001C0932"/>
    <w:rsid w:val="001C33B4"/>
    <w:rsid w:val="001C5F63"/>
    <w:rsid w:val="001D07A0"/>
    <w:rsid w:val="001D2848"/>
    <w:rsid w:val="001D35A0"/>
    <w:rsid w:val="001D38A2"/>
    <w:rsid w:val="001E1B8D"/>
    <w:rsid w:val="001E2BA6"/>
    <w:rsid w:val="001E2BF6"/>
    <w:rsid w:val="001E5092"/>
    <w:rsid w:val="001F3102"/>
    <w:rsid w:val="001F58F2"/>
    <w:rsid w:val="002026B3"/>
    <w:rsid w:val="0020465E"/>
    <w:rsid w:val="00212183"/>
    <w:rsid w:val="00221CE5"/>
    <w:rsid w:val="0022279A"/>
    <w:rsid w:val="00226CA0"/>
    <w:rsid w:val="00233856"/>
    <w:rsid w:val="002478D9"/>
    <w:rsid w:val="00253C0B"/>
    <w:rsid w:val="00254EC0"/>
    <w:rsid w:val="00262FA6"/>
    <w:rsid w:val="002652BE"/>
    <w:rsid w:val="0027349D"/>
    <w:rsid w:val="00276FE9"/>
    <w:rsid w:val="00295B0D"/>
    <w:rsid w:val="00296858"/>
    <w:rsid w:val="002A0E05"/>
    <w:rsid w:val="002A3D44"/>
    <w:rsid w:val="002B37D9"/>
    <w:rsid w:val="002C24D6"/>
    <w:rsid w:val="002C597B"/>
    <w:rsid w:val="002C707F"/>
    <w:rsid w:val="002C7958"/>
    <w:rsid w:val="002D087E"/>
    <w:rsid w:val="002F0F9A"/>
    <w:rsid w:val="003112EA"/>
    <w:rsid w:val="00317262"/>
    <w:rsid w:val="00317A67"/>
    <w:rsid w:val="00330F30"/>
    <w:rsid w:val="00331E63"/>
    <w:rsid w:val="00340364"/>
    <w:rsid w:val="00341FD7"/>
    <w:rsid w:val="00354A3C"/>
    <w:rsid w:val="00356332"/>
    <w:rsid w:val="00356AEF"/>
    <w:rsid w:val="0036757A"/>
    <w:rsid w:val="00367F38"/>
    <w:rsid w:val="003720F5"/>
    <w:rsid w:val="0037563E"/>
    <w:rsid w:val="00386EA1"/>
    <w:rsid w:val="00390D37"/>
    <w:rsid w:val="003B1D56"/>
    <w:rsid w:val="003B4FC6"/>
    <w:rsid w:val="003C11DE"/>
    <w:rsid w:val="003C2AE0"/>
    <w:rsid w:val="003D0EFF"/>
    <w:rsid w:val="003D43C9"/>
    <w:rsid w:val="003D5AED"/>
    <w:rsid w:val="003E2014"/>
    <w:rsid w:val="003E2C65"/>
    <w:rsid w:val="003F75BC"/>
    <w:rsid w:val="004012C5"/>
    <w:rsid w:val="004037E5"/>
    <w:rsid w:val="0040722C"/>
    <w:rsid w:val="004105C6"/>
    <w:rsid w:val="00412D30"/>
    <w:rsid w:val="004133E0"/>
    <w:rsid w:val="004169A5"/>
    <w:rsid w:val="00422E20"/>
    <w:rsid w:val="00423830"/>
    <w:rsid w:val="00426B67"/>
    <w:rsid w:val="00431FF3"/>
    <w:rsid w:val="0043303C"/>
    <w:rsid w:val="00436CD6"/>
    <w:rsid w:val="004375F0"/>
    <w:rsid w:val="00445064"/>
    <w:rsid w:val="004479E0"/>
    <w:rsid w:val="00451A5D"/>
    <w:rsid w:val="004608C1"/>
    <w:rsid w:val="00483C84"/>
    <w:rsid w:val="0048671B"/>
    <w:rsid w:val="00487075"/>
    <w:rsid w:val="00496035"/>
    <w:rsid w:val="00496D71"/>
    <w:rsid w:val="004A28E3"/>
    <w:rsid w:val="004B0892"/>
    <w:rsid w:val="004B1DA1"/>
    <w:rsid w:val="004C0687"/>
    <w:rsid w:val="004C290C"/>
    <w:rsid w:val="004C4F41"/>
    <w:rsid w:val="004E0FB2"/>
    <w:rsid w:val="004E4E56"/>
    <w:rsid w:val="004E533E"/>
    <w:rsid w:val="004F39ED"/>
    <w:rsid w:val="0050042F"/>
    <w:rsid w:val="005005A3"/>
    <w:rsid w:val="0050103F"/>
    <w:rsid w:val="005065F8"/>
    <w:rsid w:val="00511889"/>
    <w:rsid w:val="00513837"/>
    <w:rsid w:val="00524434"/>
    <w:rsid w:val="005257A4"/>
    <w:rsid w:val="005328FA"/>
    <w:rsid w:val="005468C4"/>
    <w:rsid w:val="005524C1"/>
    <w:rsid w:val="0055424C"/>
    <w:rsid w:val="00565BDA"/>
    <w:rsid w:val="00567585"/>
    <w:rsid w:val="00571671"/>
    <w:rsid w:val="00575076"/>
    <w:rsid w:val="005855AD"/>
    <w:rsid w:val="005922B4"/>
    <w:rsid w:val="00592715"/>
    <w:rsid w:val="00596CF0"/>
    <w:rsid w:val="00597E63"/>
    <w:rsid w:val="005A28D8"/>
    <w:rsid w:val="005A380F"/>
    <w:rsid w:val="005B1A62"/>
    <w:rsid w:val="005B4863"/>
    <w:rsid w:val="005B59B6"/>
    <w:rsid w:val="005B6C12"/>
    <w:rsid w:val="005B71F4"/>
    <w:rsid w:val="005C091C"/>
    <w:rsid w:val="005C2D72"/>
    <w:rsid w:val="005C4714"/>
    <w:rsid w:val="005D065D"/>
    <w:rsid w:val="005D0C08"/>
    <w:rsid w:val="005D33EF"/>
    <w:rsid w:val="005E43AB"/>
    <w:rsid w:val="005F2372"/>
    <w:rsid w:val="00600ABF"/>
    <w:rsid w:val="006107AF"/>
    <w:rsid w:val="006154FC"/>
    <w:rsid w:val="006156E2"/>
    <w:rsid w:val="0062232C"/>
    <w:rsid w:val="0062791F"/>
    <w:rsid w:val="00631655"/>
    <w:rsid w:val="00631682"/>
    <w:rsid w:val="00633F6A"/>
    <w:rsid w:val="00634CEB"/>
    <w:rsid w:val="00635C5F"/>
    <w:rsid w:val="006420E6"/>
    <w:rsid w:val="00645425"/>
    <w:rsid w:val="00650301"/>
    <w:rsid w:val="0065222B"/>
    <w:rsid w:val="00653871"/>
    <w:rsid w:val="0065604C"/>
    <w:rsid w:val="00660A57"/>
    <w:rsid w:val="00666CE5"/>
    <w:rsid w:val="00672424"/>
    <w:rsid w:val="006830F5"/>
    <w:rsid w:val="006940F0"/>
    <w:rsid w:val="006977FD"/>
    <w:rsid w:val="006A01F9"/>
    <w:rsid w:val="006B0AE0"/>
    <w:rsid w:val="006B1F30"/>
    <w:rsid w:val="006B362A"/>
    <w:rsid w:val="006B3EA0"/>
    <w:rsid w:val="006B4C96"/>
    <w:rsid w:val="006C3E37"/>
    <w:rsid w:val="006C7877"/>
    <w:rsid w:val="006D3AF3"/>
    <w:rsid w:val="006E4547"/>
    <w:rsid w:val="006F3D36"/>
    <w:rsid w:val="007073EB"/>
    <w:rsid w:val="00707533"/>
    <w:rsid w:val="00710CAC"/>
    <w:rsid w:val="00713A97"/>
    <w:rsid w:val="00715CAA"/>
    <w:rsid w:val="007200A2"/>
    <w:rsid w:val="00727842"/>
    <w:rsid w:val="00730D60"/>
    <w:rsid w:val="00735F8A"/>
    <w:rsid w:val="00751EFA"/>
    <w:rsid w:val="00753C9F"/>
    <w:rsid w:val="007565FB"/>
    <w:rsid w:val="00763318"/>
    <w:rsid w:val="00764D51"/>
    <w:rsid w:val="00766127"/>
    <w:rsid w:val="00767E4D"/>
    <w:rsid w:val="00767FC4"/>
    <w:rsid w:val="007824D9"/>
    <w:rsid w:val="00784CA3"/>
    <w:rsid w:val="00790C70"/>
    <w:rsid w:val="00797DB0"/>
    <w:rsid w:val="007A4EEC"/>
    <w:rsid w:val="007C124A"/>
    <w:rsid w:val="007C2F64"/>
    <w:rsid w:val="007D0C68"/>
    <w:rsid w:val="007E5B8D"/>
    <w:rsid w:val="007E7FEB"/>
    <w:rsid w:val="007F24AA"/>
    <w:rsid w:val="007F49FB"/>
    <w:rsid w:val="007F527A"/>
    <w:rsid w:val="008114FF"/>
    <w:rsid w:val="00812D9C"/>
    <w:rsid w:val="008309F2"/>
    <w:rsid w:val="00830AEA"/>
    <w:rsid w:val="008346B8"/>
    <w:rsid w:val="008348F5"/>
    <w:rsid w:val="008448C2"/>
    <w:rsid w:val="008511BC"/>
    <w:rsid w:val="008551BD"/>
    <w:rsid w:val="00861E1E"/>
    <w:rsid w:val="00863B19"/>
    <w:rsid w:val="00864F48"/>
    <w:rsid w:val="00866C10"/>
    <w:rsid w:val="008705AE"/>
    <w:rsid w:val="00871053"/>
    <w:rsid w:val="008802DC"/>
    <w:rsid w:val="008822D8"/>
    <w:rsid w:val="00886DDC"/>
    <w:rsid w:val="008A07AA"/>
    <w:rsid w:val="008B2842"/>
    <w:rsid w:val="008B657A"/>
    <w:rsid w:val="008B70DD"/>
    <w:rsid w:val="008C25BA"/>
    <w:rsid w:val="008D4921"/>
    <w:rsid w:val="008E3055"/>
    <w:rsid w:val="008E51FD"/>
    <w:rsid w:val="008F1AD6"/>
    <w:rsid w:val="008F6D28"/>
    <w:rsid w:val="008F73A1"/>
    <w:rsid w:val="00901E86"/>
    <w:rsid w:val="009022D0"/>
    <w:rsid w:val="00904B85"/>
    <w:rsid w:val="00917099"/>
    <w:rsid w:val="009248EF"/>
    <w:rsid w:val="00927CFF"/>
    <w:rsid w:val="0093038C"/>
    <w:rsid w:val="0093127E"/>
    <w:rsid w:val="00936D9C"/>
    <w:rsid w:val="00943E91"/>
    <w:rsid w:val="00953A31"/>
    <w:rsid w:val="00956EAF"/>
    <w:rsid w:val="009570F6"/>
    <w:rsid w:val="0096106B"/>
    <w:rsid w:val="009653DB"/>
    <w:rsid w:val="00973806"/>
    <w:rsid w:val="00977962"/>
    <w:rsid w:val="00997C14"/>
    <w:rsid w:val="009A2082"/>
    <w:rsid w:val="009A3264"/>
    <w:rsid w:val="009A429F"/>
    <w:rsid w:val="009A7BC8"/>
    <w:rsid w:val="009B3555"/>
    <w:rsid w:val="009B4E20"/>
    <w:rsid w:val="009E246F"/>
    <w:rsid w:val="009F12F4"/>
    <w:rsid w:val="009F16E9"/>
    <w:rsid w:val="009F4643"/>
    <w:rsid w:val="009F62B4"/>
    <w:rsid w:val="00A00396"/>
    <w:rsid w:val="00A040F5"/>
    <w:rsid w:val="00A13BF3"/>
    <w:rsid w:val="00A27007"/>
    <w:rsid w:val="00A2726F"/>
    <w:rsid w:val="00A275D4"/>
    <w:rsid w:val="00A300E0"/>
    <w:rsid w:val="00A31678"/>
    <w:rsid w:val="00A32D77"/>
    <w:rsid w:val="00A33445"/>
    <w:rsid w:val="00A35C70"/>
    <w:rsid w:val="00A3635E"/>
    <w:rsid w:val="00A42235"/>
    <w:rsid w:val="00A44650"/>
    <w:rsid w:val="00A5696F"/>
    <w:rsid w:val="00A63AEE"/>
    <w:rsid w:val="00A73A44"/>
    <w:rsid w:val="00A74DBF"/>
    <w:rsid w:val="00A838F0"/>
    <w:rsid w:val="00A85ADB"/>
    <w:rsid w:val="00A95467"/>
    <w:rsid w:val="00A977F6"/>
    <w:rsid w:val="00AA617C"/>
    <w:rsid w:val="00AB2EAB"/>
    <w:rsid w:val="00AB3D1A"/>
    <w:rsid w:val="00AC4DB9"/>
    <w:rsid w:val="00AC7810"/>
    <w:rsid w:val="00AC7961"/>
    <w:rsid w:val="00AD1617"/>
    <w:rsid w:val="00AD487B"/>
    <w:rsid w:val="00AD4A31"/>
    <w:rsid w:val="00AE04BC"/>
    <w:rsid w:val="00AE617A"/>
    <w:rsid w:val="00AF0179"/>
    <w:rsid w:val="00AF2FB6"/>
    <w:rsid w:val="00AF42F1"/>
    <w:rsid w:val="00B03688"/>
    <w:rsid w:val="00B13170"/>
    <w:rsid w:val="00B174C3"/>
    <w:rsid w:val="00B30FF1"/>
    <w:rsid w:val="00B43D43"/>
    <w:rsid w:val="00B441D0"/>
    <w:rsid w:val="00B50B9F"/>
    <w:rsid w:val="00B57C71"/>
    <w:rsid w:val="00B64159"/>
    <w:rsid w:val="00B74BD6"/>
    <w:rsid w:val="00B74E68"/>
    <w:rsid w:val="00B75128"/>
    <w:rsid w:val="00B86904"/>
    <w:rsid w:val="00BA4D2A"/>
    <w:rsid w:val="00BA56B8"/>
    <w:rsid w:val="00BB7305"/>
    <w:rsid w:val="00BC0616"/>
    <w:rsid w:val="00BD13B2"/>
    <w:rsid w:val="00BD22E1"/>
    <w:rsid w:val="00BD32A3"/>
    <w:rsid w:val="00BD688A"/>
    <w:rsid w:val="00BD6E1C"/>
    <w:rsid w:val="00BD76BE"/>
    <w:rsid w:val="00BE1FCC"/>
    <w:rsid w:val="00BE3744"/>
    <w:rsid w:val="00BE40CE"/>
    <w:rsid w:val="00BF0789"/>
    <w:rsid w:val="00C06583"/>
    <w:rsid w:val="00C20149"/>
    <w:rsid w:val="00C22485"/>
    <w:rsid w:val="00C23645"/>
    <w:rsid w:val="00C255C6"/>
    <w:rsid w:val="00C3388E"/>
    <w:rsid w:val="00C34F1E"/>
    <w:rsid w:val="00C4011F"/>
    <w:rsid w:val="00C415B5"/>
    <w:rsid w:val="00C43AB3"/>
    <w:rsid w:val="00C5175D"/>
    <w:rsid w:val="00C534D0"/>
    <w:rsid w:val="00C541C1"/>
    <w:rsid w:val="00C60266"/>
    <w:rsid w:val="00C6139D"/>
    <w:rsid w:val="00C651EC"/>
    <w:rsid w:val="00C749DC"/>
    <w:rsid w:val="00C80F3F"/>
    <w:rsid w:val="00C82134"/>
    <w:rsid w:val="00C823D4"/>
    <w:rsid w:val="00C83BC1"/>
    <w:rsid w:val="00C8574F"/>
    <w:rsid w:val="00C9654E"/>
    <w:rsid w:val="00CA2726"/>
    <w:rsid w:val="00CB2541"/>
    <w:rsid w:val="00CB4E69"/>
    <w:rsid w:val="00CB4E6E"/>
    <w:rsid w:val="00CB6344"/>
    <w:rsid w:val="00CB6704"/>
    <w:rsid w:val="00CC0B1E"/>
    <w:rsid w:val="00CC38E1"/>
    <w:rsid w:val="00CC72AF"/>
    <w:rsid w:val="00CD0129"/>
    <w:rsid w:val="00CE2F94"/>
    <w:rsid w:val="00CF3179"/>
    <w:rsid w:val="00D07F4A"/>
    <w:rsid w:val="00D14B77"/>
    <w:rsid w:val="00D155C6"/>
    <w:rsid w:val="00D245BE"/>
    <w:rsid w:val="00D309CB"/>
    <w:rsid w:val="00D3619F"/>
    <w:rsid w:val="00D54925"/>
    <w:rsid w:val="00D559A7"/>
    <w:rsid w:val="00D61B7C"/>
    <w:rsid w:val="00D6493F"/>
    <w:rsid w:val="00D67C66"/>
    <w:rsid w:val="00D719AA"/>
    <w:rsid w:val="00D74C55"/>
    <w:rsid w:val="00DA31AC"/>
    <w:rsid w:val="00DA504C"/>
    <w:rsid w:val="00DA59FE"/>
    <w:rsid w:val="00DC221A"/>
    <w:rsid w:val="00DC517D"/>
    <w:rsid w:val="00DC6DD3"/>
    <w:rsid w:val="00DE3C4A"/>
    <w:rsid w:val="00DE3D09"/>
    <w:rsid w:val="00DE40C8"/>
    <w:rsid w:val="00DE6F1C"/>
    <w:rsid w:val="00DF5BC6"/>
    <w:rsid w:val="00E12995"/>
    <w:rsid w:val="00E1440F"/>
    <w:rsid w:val="00E3246B"/>
    <w:rsid w:val="00E32E5B"/>
    <w:rsid w:val="00E33BDF"/>
    <w:rsid w:val="00E40CBF"/>
    <w:rsid w:val="00E45C4A"/>
    <w:rsid w:val="00E5438F"/>
    <w:rsid w:val="00E56BA2"/>
    <w:rsid w:val="00E66CC0"/>
    <w:rsid w:val="00E715FF"/>
    <w:rsid w:val="00E84265"/>
    <w:rsid w:val="00E84A05"/>
    <w:rsid w:val="00E8558B"/>
    <w:rsid w:val="00E87151"/>
    <w:rsid w:val="00E9313F"/>
    <w:rsid w:val="00E94B2A"/>
    <w:rsid w:val="00E951D0"/>
    <w:rsid w:val="00EA37E0"/>
    <w:rsid w:val="00EA42AD"/>
    <w:rsid w:val="00EA6627"/>
    <w:rsid w:val="00EB1F5E"/>
    <w:rsid w:val="00EB2449"/>
    <w:rsid w:val="00EB27CB"/>
    <w:rsid w:val="00EB7290"/>
    <w:rsid w:val="00ED40A8"/>
    <w:rsid w:val="00EE0A53"/>
    <w:rsid w:val="00EE4780"/>
    <w:rsid w:val="00F04867"/>
    <w:rsid w:val="00F1571E"/>
    <w:rsid w:val="00F168B3"/>
    <w:rsid w:val="00F20955"/>
    <w:rsid w:val="00F3375E"/>
    <w:rsid w:val="00F35B23"/>
    <w:rsid w:val="00F42ECF"/>
    <w:rsid w:val="00F4737F"/>
    <w:rsid w:val="00F514FC"/>
    <w:rsid w:val="00F64498"/>
    <w:rsid w:val="00F761F4"/>
    <w:rsid w:val="00F765CD"/>
    <w:rsid w:val="00F77136"/>
    <w:rsid w:val="00F81554"/>
    <w:rsid w:val="00F818F8"/>
    <w:rsid w:val="00F819BC"/>
    <w:rsid w:val="00F92732"/>
    <w:rsid w:val="00F97AB7"/>
    <w:rsid w:val="00FA0D69"/>
    <w:rsid w:val="00FA15B1"/>
    <w:rsid w:val="00FA255D"/>
    <w:rsid w:val="00FC25AE"/>
    <w:rsid w:val="00FE09DE"/>
    <w:rsid w:val="00FE300D"/>
    <w:rsid w:val="00FE5E9E"/>
    <w:rsid w:val="00F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0C912"/>
  <w15:chartTrackingRefBased/>
  <w15:docId w15:val="{43CC8B20-7CAC-49E8-ABC3-9613AF90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1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48"/>
    <w:pPr>
      <w:spacing w:before="180" w:after="0"/>
    </w:pPr>
    <w:rPr>
      <w:rFonts w:ascii="Open Sans" w:hAnsi="Open Sans" w:cs="Open Sans"/>
      <w:color w:val="000000" w:themeColor="text1"/>
      <w:sz w:val="18"/>
      <w:szCs w:val="18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13837"/>
    <w:pPr>
      <w:spacing w:before="360" w:after="12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9"/>
    <w:unhideWhenUsed/>
    <w:qFormat/>
    <w:rsid w:val="00A42235"/>
    <w:pPr>
      <w:keepNext/>
      <w:keepLines/>
      <w:snapToGrid w:val="0"/>
      <w:spacing w:before="240"/>
      <w:outlineLvl w:val="1"/>
    </w:pPr>
    <w:rPr>
      <w:rFonts w:eastAsiaTheme="majorEastAsia"/>
      <w:color w:val="0070CC" w:themeColor="accent1"/>
    </w:rPr>
  </w:style>
  <w:style w:type="paragraph" w:styleId="Heading3">
    <w:name w:val="heading 3"/>
    <w:basedOn w:val="Normal"/>
    <w:next w:val="Normal"/>
    <w:link w:val="Heading3Char"/>
    <w:uiPriority w:val="19"/>
    <w:unhideWhenUsed/>
    <w:qFormat/>
    <w:rsid w:val="00C8574F"/>
    <w:pPr>
      <w:keepNext/>
      <w:keepLines/>
      <w:spacing w:before="240" w:after="60"/>
      <w:outlineLvl w:val="2"/>
    </w:pPr>
    <w:rPr>
      <w:rFonts w:eastAsiaTheme="majorEastAsia"/>
      <w:i/>
      <w:iCs/>
      <w:color w:val="545659" w:themeColor="text2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24434"/>
    <w:pPr>
      <w:pBdr>
        <w:top w:val="single" w:sz="6" w:space="6" w:color="0070CC" w:themeColor="accent1"/>
        <w:bottom w:val="single" w:sz="6" w:space="6" w:color="0070CC" w:themeColor="accent1"/>
      </w:pBdr>
      <w:spacing w:after="480"/>
      <w:ind w:left="720" w:right="994"/>
      <w:outlineLvl w:val="3"/>
    </w:pPr>
    <w:rPr>
      <w:b w:val="0"/>
      <w:i/>
      <w:color w:val="545659" w:themeColor="text2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2C5"/>
    <w:pPr>
      <w:keepNext/>
      <w:keepLines/>
      <w:spacing w:line="240" w:lineRule="auto"/>
      <w:outlineLvl w:val="4"/>
    </w:pPr>
    <w:rPr>
      <w:rFonts w:eastAsiaTheme="majorEastAsia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726"/>
    <w:pPr>
      <w:pBdr>
        <w:bottom w:val="single" w:sz="36" w:space="3" w:color="D5D5D5" w:themeColor="accent6"/>
      </w:pBdr>
      <w:spacing w:before="360" w:after="240"/>
      <w:outlineLvl w:val="5"/>
    </w:pPr>
  </w:style>
  <w:style w:type="paragraph" w:styleId="Heading7">
    <w:name w:val="heading 7"/>
    <w:next w:val="Normal"/>
    <w:link w:val="Heading7Char"/>
    <w:uiPriority w:val="9"/>
    <w:unhideWhenUsed/>
    <w:qFormat/>
    <w:rsid w:val="00927CFF"/>
    <w:pPr>
      <w:keepNext/>
      <w:keepLines/>
      <w:spacing w:before="120" w:after="0" w:line="240" w:lineRule="auto"/>
      <w:outlineLvl w:val="6"/>
    </w:pPr>
    <w:rPr>
      <w:rFonts w:ascii="Open Sans" w:eastAsiaTheme="majorEastAsia" w:hAnsi="Open Sans" w:cs="Open Sans"/>
      <w:b/>
      <w:bCs/>
      <w:color w:val="000000" w:themeColor="text1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222B"/>
    <w:pPr>
      <w:keepNext/>
      <w:keepLines/>
      <w:spacing w:before="4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27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221CE5"/>
    <w:rPr>
      <w:sz w:val="22"/>
      <w:szCs w:val="22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5524C1"/>
    <w:pPr>
      <w:spacing w:before="360" w:line="240" w:lineRule="auto"/>
      <w:contextualSpacing/>
    </w:pPr>
    <w:rPr>
      <w:rFonts w:ascii="Roboto Condensed Light" w:eastAsiaTheme="majorEastAsia" w:hAnsi="Roboto Condensed Light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24C1"/>
    <w:rPr>
      <w:rFonts w:ascii="Roboto Condensed Light" w:eastAsiaTheme="majorEastAsia" w:hAnsi="Roboto Condensed Light" w:cstheme="majorBidi"/>
      <w:color w:val="000000" w:themeColor="text1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F6"/>
    <w:pPr>
      <w:numPr>
        <w:ilvl w:val="1"/>
      </w:numPr>
      <w:spacing w:before="360" w:after="240"/>
    </w:pPr>
    <w:rPr>
      <w:rFonts w:eastAsiaTheme="minorEastAsia"/>
      <w:color w:val="0070CC" w:themeColor="accent1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77F6"/>
    <w:rPr>
      <w:rFonts w:ascii="Open Sans" w:eastAsiaTheme="minorEastAsia" w:hAnsi="Open Sans" w:cs="Open Sans"/>
      <w:color w:val="0070CC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13837"/>
    <w:rPr>
      <w:rFonts w:ascii="Open Sans" w:hAnsi="Open Sans" w:cs="Open Sans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8705AE"/>
    <w:pPr>
      <w:numPr>
        <w:numId w:val="1"/>
      </w:numPr>
      <w:spacing w:before="120" w:after="120"/>
      <w:ind w:left="806"/>
    </w:pPr>
  </w:style>
  <w:style w:type="paragraph" w:styleId="ListBullet">
    <w:name w:val="List Bullet"/>
    <w:basedOn w:val="Normal"/>
    <w:uiPriority w:val="99"/>
    <w:unhideWhenUsed/>
    <w:rsid w:val="008705AE"/>
    <w:pPr>
      <w:numPr>
        <w:numId w:val="11"/>
      </w:numPr>
      <w:ind w:left="720"/>
    </w:pPr>
  </w:style>
  <w:style w:type="paragraph" w:styleId="ListBullet2">
    <w:name w:val="List Bullet 2"/>
    <w:basedOn w:val="Normal"/>
    <w:uiPriority w:val="99"/>
    <w:unhideWhenUsed/>
    <w:rsid w:val="00F64498"/>
    <w:pPr>
      <w:numPr>
        <w:numId w:val="14"/>
      </w:numPr>
      <w:spacing w:before="120" w:after="120"/>
      <w:ind w:left="900" w:hanging="180"/>
    </w:pPr>
  </w:style>
  <w:style w:type="character" w:customStyle="1" w:styleId="Heading2Char">
    <w:name w:val="Heading 2 Char"/>
    <w:basedOn w:val="DefaultParagraphFont"/>
    <w:link w:val="Heading2"/>
    <w:uiPriority w:val="19"/>
    <w:rsid w:val="00A42235"/>
    <w:rPr>
      <w:rFonts w:ascii="Open Sans" w:eastAsiaTheme="majorEastAsia" w:hAnsi="Open Sans" w:cs="Open Sans"/>
      <w:color w:val="0070C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9"/>
    <w:rsid w:val="00C8574F"/>
    <w:rPr>
      <w:rFonts w:ascii="Open Sans" w:eastAsiaTheme="majorEastAsia" w:hAnsi="Open Sans" w:cs="Open Sans"/>
      <w:i/>
      <w:iCs/>
      <w:color w:val="545659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B27CB"/>
    <w:rPr>
      <w:b/>
      <w:bCs/>
    </w:rPr>
  </w:style>
  <w:style w:type="table" w:styleId="TableGrid">
    <w:name w:val="Table Grid"/>
    <w:basedOn w:val="TableNormal"/>
    <w:rsid w:val="00EB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B27CB"/>
    <w:tblPr>
      <w:tblStyleRowBandSize w:val="1"/>
      <w:tblStyleColBandSize w:val="1"/>
      <w:tblBorders>
        <w:top w:val="single" w:sz="2" w:space="0" w:color="47ACFF" w:themeColor="accent1" w:themeTint="99"/>
        <w:bottom w:val="single" w:sz="2" w:space="0" w:color="47ACFF" w:themeColor="accent1" w:themeTint="99"/>
        <w:insideH w:val="single" w:sz="2" w:space="0" w:color="47ACFF" w:themeColor="accent1" w:themeTint="99"/>
        <w:insideV w:val="single" w:sz="2" w:space="0" w:color="47A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A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A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F" w:themeFill="accent1" w:themeFillTint="33"/>
      </w:tcPr>
    </w:tblStylePr>
    <w:tblStylePr w:type="band1Horz">
      <w:tblPr/>
      <w:tcPr>
        <w:shd w:val="clear" w:color="auto" w:fill="C1E3FF" w:themeFill="accent1" w:themeFillTint="33"/>
      </w:tcPr>
    </w:tblStylePr>
  </w:style>
  <w:style w:type="paragraph" w:styleId="BodyText">
    <w:name w:val="Body Text"/>
    <w:basedOn w:val="BodyText2"/>
    <w:link w:val="BodyTextChar"/>
    <w:uiPriority w:val="99"/>
    <w:unhideWhenUsed/>
    <w:rsid w:val="00A42235"/>
    <w:pPr>
      <w:spacing w:before="180" w:line="264" w:lineRule="auto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A42235"/>
    <w:rPr>
      <w:rFonts w:ascii="Open Sans" w:hAnsi="Open Sans" w:cs="Open Sans"/>
      <w:sz w:val="18"/>
      <w:szCs w:val="18"/>
    </w:rPr>
  </w:style>
  <w:style w:type="paragraph" w:styleId="BodyText2">
    <w:name w:val="Body Text 2"/>
    <w:link w:val="BodyText2Char"/>
    <w:uiPriority w:val="99"/>
    <w:unhideWhenUsed/>
    <w:rsid w:val="00927CFF"/>
    <w:pPr>
      <w:spacing w:after="0" w:line="240" w:lineRule="auto"/>
    </w:pPr>
    <w:rPr>
      <w:rFonts w:ascii="Open Sans" w:hAnsi="Open Sans" w:cs="Open Sans"/>
      <w:color w:val="000000" w:themeColor="text1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927CFF"/>
    <w:rPr>
      <w:rFonts w:ascii="Open Sans" w:hAnsi="Open Sans" w:cs="Open Sans"/>
      <w:color w:val="000000" w:themeColor="text1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F97AB7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97AB7"/>
    <w:rPr>
      <w:rFonts w:ascii="Open Sans" w:hAnsi="Open Sans" w:cs="Open Sans"/>
      <w:sz w:val="18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E0A5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E0A53"/>
    <w:rPr>
      <w:rFonts w:ascii="Open Sans" w:hAnsi="Open Sans" w:cs="Open Sans"/>
      <w:sz w:val="18"/>
      <w:szCs w:val="18"/>
    </w:rPr>
  </w:style>
  <w:style w:type="paragraph" w:styleId="BodyText3">
    <w:name w:val="Body Text 3"/>
    <w:aliases w:val="Body Text 3 - Source"/>
    <w:basedOn w:val="Normal"/>
    <w:link w:val="BodyText3Char"/>
    <w:uiPriority w:val="99"/>
    <w:unhideWhenUsed/>
    <w:rsid w:val="00DE6F1C"/>
    <w:pPr>
      <w:pBdr>
        <w:bottom w:val="single" w:sz="36" w:space="1" w:color="D5D5D5" w:themeColor="accent6"/>
      </w:pBdr>
      <w:spacing w:before="240" w:after="480"/>
    </w:pPr>
    <w:rPr>
      <w:color w:val="545659" w:themeColor="text2"/>
      <w:sz w:val="16"/>
      <w:szCs w:val="16"/>
    </w:rPr>
  </w:style>
  <w:style w:type="character" w:customStyle="1" w:styleId="BodyText3Char">
    <w:name w:val="Body Text 3 Char"/>
    <w:aliases w:val="Body Text 3 - Source Char"/>
    <w:basedOn w:val="DefaultParagraphFont"/>
    <w:link w:val="BodyText3"/>
    <w:uiPriority w:val="99"/>
    <w:rsid w:val="00DE6F1C"/>
    <w:rPr>
      <w:rFonts w:ascii="Open Sans" w:hAnsi="Open Sans" w:cs="Open Sans"/>
      <w:color w:val="545659" w:themeColor="text2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24434"/>
    <w:rPr>
      <w:rFonts w:ascii="Open Sans" w:hAnsi="Open Sans" w:cs="Open Sans"/>
      <w:bCs/>
      <w:i/>
      <w:color w:val="545659" w:themeColor="tex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346B8"/>
    <w:pPr>
      <w:spacing w:after="200" w:line="240" w:lineRule="auto"/>
    </w:pPr>
    <w:rPr>
      <w:i/>
      <w:iCs/>
      <w:color w:val="545659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4012C5"/>
    <w:rPr>
      <w:rFonts w:ascii="Open Sans" w:eastAsiaTheme="majorEastAsia" w:hAnsi="Open Sans" w:cs="Open Sans"/>
      <w:b/>
      <w:bCs/>
      <w:color w:val="000000" w:themeColor="text1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97A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7AB7"/>
    <w:rPr>
      <w:rFonts w:ascii="Open Sans" w:hAnsi="Open Sans" w:cs="Open Sans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CA2726"/>
    <w:rPr>
      <w:rFonts w:ascii="Open Sans" w:hAnsi="Open Sans" w:cs="Open Sans"/>
      <w:color w:val="000000" w:themeColor="text1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27CFF"/>
    <w:rPr>
      <w:rFonts w:ascii="Open Sans" w:eastAsiaTheme="majorEastAsia" w:hAnsi="Open Sans" w:cs="Open Sans"/>
      <w:b/>
      <w:bCs/>
      <w:color w:val="000000" w:themeColor="text1"/>
      <w:sz w:val="16"/>
      <w:szCs w:val="16"/>
    </w:rPr>
  </w:style>
  <w:style w:type="table" w:styleId="GridTable2">
    <w:name w:val="Grid Table 2"/>
    <w:basedOn w:val="TableNormal"/>
    <w:uiPriority w:val="47"/>
    <w:rsid w:val="00F644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F64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3BDF"/>
    <w:pPr>
      <w:tabs>
        <w:tab w:val="center" w:pos="4680"/>
        <w:tab w:val="right" w:pos="9360"/>
      </w:tabs>
      <w:spacing w:line="240" w:lineRule="auto"/>
    </w:pPr>
    <w:rPr>
      <w:color w:val="545659" w:themeColor="text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33BDF"/>
    <w:rPr>
      <w:rFonts w:ascii="Open Sans" w:hAnsi="Open Sans" w:cs="Open Sans"/>
      <w:color w:val="545659" w:themeColor="text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26CA0"/>
    <w:pPr>
      <w:tabs>
        <w:tab w:val="center" w:pos="4680"/>
        <w:tab w:val="right" w:pos="9360"/>
      </w:tabs>
      <w:spacing w:before="0" w:line="180" w:lineRule="exact"/>
    </w:pPr>
    <w:rPr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26CA0"/>
    <w:rPr>
      <w:rFonts w:ascii="Open Sans" w:hAnsi="Open Sans" w:cs="Open Sans"/>
      <w:color w:val="808080" w:themeColor="background1" w:themeShade="80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E33BDF"/>
  </w:style>
  <w:style w:type="character" w:customStyle="1" w:styleId="Heading8Char">
    <w:name w:val="Heading 8 Char"/>
    <w:basedOn w:val="DefaultParagraphFont"/>
    <w:link w:val="Heading8"/>
    <w:uiPriority w:val="9"/>
    <w:rsid w:val="0065222B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5524C1"/>
    <w:rPr>
      <w:color w:val="0070CC" w:themeColor="accent1"/>
      <w:u w:val="single"/>
    </w:rPr>
  </w:style>
  <w:style w:type="paragraph" w:styleId="TOC1">
    <w:name w:val="toc 1"/>
    <w:basedOn w:val="Normal"/>
    <w:next w:val="Normal"/>
    <w:uiPriority w:val="39"/>
    <w:qFormat/>
    <w:rsid w:val="00483C84"/>
    <w:pPr>
      <w:tabs>
        <w:tab w:val="right" w:leader="underscore" w:pos="9350"/>
      </w:tabs>
      <w:spacing w:before="240" w:after="1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765CD"/>
    <w:pPr>
      <w:numPr>
        <w:numId w:val="40"/>
      </w:numPr>
      <w:tabs>
        <w:tab w:val="right" w:leader="underscore" w:pos="9350"/>
      </w:tabs>
      <w:ind w:left="540" w:hanging="2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57C71"/>
    <w:pPr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24C1"/>
    <w:rPr>
      <w:rFonts w:ascii="Open Sans" w:hAnsi="Open Sans"/>
      <w:b w:val="0"/>
      <w:i w:val="0"/>
      <w:color w:val="0070CC" w:themeColor="accent1"/>
      <w:u w:val="single"/>
    </w:rPr>
  </w:style>
  <w:style w:type="character" w:styleId="SmartLink">
    <w:name w:val="Smart Link"/>
    <w:basedOn w:val="DefaultParagraphFont"/>
    <w:uiPriority w:val="99"/>
    <w:unhideWhenUsed/>
    <w:rsid w:val="008822D8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semiHidden/>
    <w:unhideWhenUsed/>
    <w:rsid w:val="008822D8"/>
    <w:rPr>
      <w:color w:val="605E5C"/>
      <w:shd w:val="clear" w:color="auto" w:fill="E1DFDD"/>
    </w:rPr>
  </w:style>
  <w:style w:type="paragraph" w:styleId="FootnoteText">
    <w:name w:val="footnote text"/>
    <w:basedOn w:val="EndnoteText"/>
    <w:next w:val="Normal"/>
    <w:link w:val="FootnoteTextChar"/>
    <w:uiPriority w:val="99"/>
    <w:unhideWhenUsed/>
    <w:rsid w:val="00927CFF"/>
    <w:pPr>
      <w:spacing w:before="60"/>
      <w:ind w:left="90" w:hanging="90"/>
    </w:pPr>
    <w:rPr>
      <w:color w:val="545659" w:themeColor="text2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7CFF"/>
    <w:rPr>
      <w:rFonts w:ascii="Open Sans" w:hAnsi="Open Sans" w:cs="Open Sans"/>
      <w:color w:val="545659" w:themeColor="text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5524C1"/>
    <w:rPr>
      <w:color w:val="000000" w:themeColor="text1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24C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24C1"/>
    <w:rPr>
      <w:rFonts w:ascii="Open Sans" w:hAnsi="Open Sans" w:cs="Open Sans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2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EA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E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112EA"/>
    <w:pPr>
      <w:spacing w:after="0" w:line="240" w:lineRule="auto"/>
    </w:pPr>
    <w:rPr>
      <w:rFonts w:eastAsia="Yu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112E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laceholderText">
    <w:name w:val="Placeholder Text"/>
    <w:basedOn w:val="DefaultParagraphFont"/>
    <w:uiPriority w:val="99"/>
    <w:semiHidden/>
    <w:rsid w:val="003112E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11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12EA"/>
    <w:pPr>
      <w:spacing w:after="160" w:line="240" w:lineRule="auto"/>
    </w:pPr>
    <w:rPr>
      <w:rFonts w:ascii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12E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2EA"/>
    <w:rPr>
      <w:rFonts w:ascii="Calibri" w:hAnsi="Calibri" w:cs="Times New Roman"/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12EA"/>
    <w:rPr>
      <w:vertAlign w:val="superscript"/>
    </w:rPr>
  </w:style>
  <w:style w:type="paragraph" w:styleId="Revision">
    <w:name w:val="Revision"/>
    <w:hidden/>
    <w:uiPriority w:val="99"/>
    <w:semiHidden/>
    <w:rsid w:val="003112EA"/>
    <w:pPr>
      <w:spacing w:after="0" w:line="240" w:lineRule="auto"/>
    </w:pPr>
    <w:rPr>
      <w:sz w:val="22"/>
      <w:szCs w:val="22"/>
    </w:rPr>
  </w:style>
  <w:style w:type="paragraph" w:styleId="Bibliography">
    <w:name w:val="Bibliography"/>
    <w:next w:val="Normal"/>
    <w:uiPriority w:val="37"/>
    <w:unhideWhenUsed/>
    <w:rsid w:val="00095503"/>
    <w:pPr>
      <w:spacing w:after="120" w:line="240" w:lineRule="auto"/>
    </w:pPr>
    <w:rPr>
      <w:rFonts w:ascii="Open Sans" w:hAnsi="Open Sans" w:cs="Times New Roman"/>
      <w:color w:val="000000" w:themeColor="text1"/>
      <w:sz w:val="16"/>
      <w:szCs w:val="22"/>
    </w:rPr>
  </w:style>
  <w:style w:type="table" w:styleId="PlainTable1">
    <w:name w:val="Plain Table 1"/>
    <w:basedOn w:val="TableNormal"/>
    <w:uiPriority w:val="41"/>
    <w:rsid w:val="003112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276F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276FE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99"/>
        <w:left w:val="single" w:sz="4" w:space="0" w:color="E5E5E5" w:themeColor="accent6" w:themeTint="99"/>
        <w:bottom w:val="single" w:sz="4" w:space="0" w:color="E5E5E5" w:themeColor="accent6" w:themeTint="99"/>
        <w:right w:val="single" w:sz="4" w:space="0" w:color="E5E5E5" w:themeColor="accent6" w:themeTint="99"/>
        <w:insideH w:val="single" w:sz="4" w:space="0" w:color="E5E5E5" w:themeColor="accent6" w:themeTint="99"/>
        <w:insideV w:val="single" w:sz="4" w:space="0" w:color="E5E5E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D5D5" w:themeColor="accent6"/>
          <w:left w:val="single" w:sz="4" w:space="0" w:color="D5D5D5" w:themeColor="accent6"/>
          <w:bottom w:val="single" w:sz="4" w:space="0" w:color="D5D5D5" w:themeColor="accent6"/>
          <w:right w:val="single" w:sz="4" w:space="0" w:color="D5D5D5" w:themeColor="accent6"/>
          <w:insideH w:val="nil"/>
          <w:insideV w:val="nil"/>
        </w:tcBorders>
        <w:shd w:val="clear" w:color="auto" w:fill="D5D5D5" w:themeFill="accent6"/>
      </w:tcPr>
    </w:tblStylePr>
    <w:tblStylePr w:type="lastRow">
      <w:rPr>
        <w:b/>
        <w:bCs/>
      </w:rPr>
      <w:tblPr/>
      <w:tcPr>
        <w:tcBorders>
          <w:top w:val="double" w:sz="4" w:space="0" w:color="D5D5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3"/>
      </w:tcPr>
    </w:tblStylePr>
    <w:tblStylePr w:type="band1Horz">
      <w:tblPr/>
      <w:tcPr>
        <w:shd w:val="clear" w:color="auto" w:fill="F6F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76F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D5D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D5D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D5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D5D5" w:themeFill="accent6"/>
      </w:tcPr>
    </w:tblStylePr>
    <w:tblStylePr w:type="band1Vert">
      <w:tblPr/>
      <w:tcPr>
        <w:shd w:val="clear" w:color="auto" w:fill="EEEEEE" w:themeFill="accent6" w:themeFillTint="66"/>
      </w:tcPr>
    </w:tblStylePr>
    <w:tblStylePr w:type="band1Horz">
      <w:tblPr/>
      <w:tcPr>
        <w:shd w:val="clear" w:color="auto" w:fill="EEEEEE" w:themeFill="accent6" w:themeFillTint="66"/>
      </w:tc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B57C71"/>
    <w:pPr>
      <w:ind w:left="54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7C71"/>
    <w:pPr>
      <w:ind w:left="72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7C71"/>
    <w:pPr>
      <w:ind w:left="9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7C71"/>
    <w:pPr>
      <w:ind w:left="108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7C71"/>
    <w:pPr>
      <w:ind w:left="126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7C71"/>
    <w:pPr>
      <w:ind w:left="1440"/>
    </w:pPr>
    <w:rPr>
      <w:rFonts w:asciiTheme="minorHAnsi" w:hAnsiTheme="minorHAnsi" w:cstheme="minorHAnsi"/>
    </w:rPr>
  </w:style>
  <w:style w:type="paragraph" w:styleId="TableofFigures">
    <w:name w:val="table of figures"/>
    <w:basedOn w:val="Normal"/>
    <w:next w:val="Normal"/>
    <w:uiPriority w:val="99"/>
    <w:unhideWhenUsed/>
    <w:rsid w:val="00B57C71"/>
  </w:style>
  <w:style w:type="paragraph" w:customStyle="1" w:styleId="NOTE">
    <w:name w:val="NOTE"/>
    <w:basedOn w:val="Normal"/>
    <w:qFormat/>
    <w:rsid w:val="00C823D4"/>
    <w:rPr>
      <w:color w:val="FF0000"/>
    </w:rPr>
  </w:style>
  <w:style w:type="table" w:styleId="ListTable2">
    <w:name w:val="List Table 2"/>
    <w:basedOn w:val="TableNormal"/>
    <w:uiPriority w:val="47"/>
    <w:rsid w:val="00426B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left">
    <w:name w:val="Table text left"/>
    <w:qFormat/>
    <w:rsid w:val="00426B67"/>
    <w:pPr>
      <w:spacing w:before="40" w:after="40" w:line="240" w:lineRule="auto"/>
    </w:pPr>
    <w:rPr>
      <w:rFonts w:ascii="Open Sans" w:hAnsi="Open Sans" w:cs="Open Sans"/>
      <w:color w:val="000000" w:themeColor="text1"/>
      <w:sz w:val="18"/>
      <w:szCs w:val="18"/>
    </w:rPr>
  </w:style>
  <w:style w:type="paragraph" w:customStyle="1" w:styleId="Tableheadwhite">
    <w:name w:val="Table head white"/>
    <w:basedOn w:val="Tabletextleft"/>
    <w:qFormat/>
    <w:rsid w:val="00426B67"/>
    <w:pPr>
      <w:jc w:val="right"/>
    </w:pPr>
    <w:rPr>
      <w:b/>
      <w:bCs/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EA37E0"/>
    <w:pPr>
      <w:widowControl w:val="0"/>
      <w:autoSpaceDE w:val="0"/>
      <w:autoSpaceDN w:val="0"/>
      <w:spacing w:before="11" w:line="240" w:lineRule="auto"/>
    </w:pPr>
    <w:rPr>
      <w:rFonts w:ascii="Arial" w:eastAsia="Arial" w:hAnsi="Arial" w:cs="Arial"/>
      <w:color w:val="auto"/>
      <w:sz w:val="22"/>
      <w:szCs w:val="22"/>
    </w:rPr>
  </w:style>
  <w:style w:type="character" w:customStyle="1" w:styleId="cf01">
    <w:name w:val="cf01"/>
    <w:basedOn w:val="DefaultParagraphFont"/>
    <w:rsid w:val="00660A5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ranz\OneDrive%20-%20Qontigo\Desktop\Clean%20Up\Word%20Docs\2022%20WP\2022%20Word%20Template\QON_WP_TEMPLATE_2022-R3.dotx" TargetMode="External"/></Relationships>
</file>

<file path=word/theme/theme1.xml><?xml version="1.0" encoding="utf-8"?>
<a:theme xmlns:a="http://schemas.openxmlformats.org/drawingml/2006/main" name="Qontigo">
  <a:themeElements>
    <a:clrScheme name="Custom 49">
      <a:dk1>
        <a:srgbClr val="000000"/>
      </a:dk1>
      <a:lt1>
        <a:srgbClr val="FFFFFF"/>
      </a:lt1>
      <a:dk2>
        <a:srgbClr val="545659"/>
      </a:dk2>
      <a:lt2>
        <a:srgbClr val="A9A9A9"/>
      </a:lt2>
      <a:accent1>
        <a:srgbClr val="0070CC"/>
      </a:accent1>
      <a:accent2>
        <a:srgbClr val="53B847"/>
      </a:accent2>
      <a:accent3>
        <a:srgbClr val="00ACED"/>
      </a:accent3>
      <a:accent4>
        <a:srgbClr val="F6A700"/>
      </a:accent4>
      <a:accent5>
        <a:srgbClr val="002C72"/>
      </a:accent5>
      <a:accent6>
        <a:srgbClr val="D5D5D5"/>
      </a:accent6>
      <a:hlink>
        <a:srgbClr val="0070CC"/>
      </a:hlink>
      <a:folHlink>
        <a:srgbClr val="0070C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800" b="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+mj-lt"/>
          </a:defRPr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 marL="237007" indent="-237007" algn="l">
          <a:spcBef>
            <a:spcPts val="1600"/>
          </a:spcBef>
          <a:spcAft>
            <a:spcPts val="400"/>
          </a:spcAft>
          <a:buClr>
            <a:srgbClr val="0070CC"/>
          </a:buClr>
          <a:buSzPct val="100000"/>
          <a:buFont typeface="System Font Regular"/>
          <a:buChar char="&gt;"/>
          <a:defRPr sz="2200" kern="0" dirty="0">
            <a:solidFill>
              <a:srgbClr val="000000"/>
            </a:solidFill>
            <a:latin typeface="Open Sans" panose="020B0606030504020204" pitchFamily="34" charset="0"/>
            <a:ea typeface="Open Sans" panose="020B0606030504020204" pitchFamily="34" charset="0"/>
            <a:cs typeface="Open Sans" panose="020B0606030504020204" pitchFamily="34" charset="0"/>
          </a:defRPr>
        </a:defPPr>
      </a:lst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566E10"/>
        </a:accent1>
        <a:accent2>
          <a:srgbClr val="C0DA2F"/>
        </a:accent2>
        <a:accent3>
          <a:srgbClr val="FFFFFF"/>
        </a:accent3>
        <a:accent4>
          <a:srgbClr val="000000"/>
        </a:accent4>
        <a:accent5>
          <a:srgbClr val="B4BAAA"/>
        </a:accent5>
        <a:accent6>
          <a:srgbClr val="AEC52A"/>
        </a:accent6>
        <a:hlink>
          <a:srgbClr val="A6A6A6"/>
        </a:hlink>
        <a:folHlink>
          <a:srgbClr val="3FAFEF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Qontigo" id="{7FC8D536-C250-BB4A-8A74-F2262C245CE9}" vid="{93FFEDE4-1F7D-1548-8EEC-695C2A8F29A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39ebe-5145-4877-b081-59099619badf">
      <Terms xmlns="http://schemas.microsoft.com/office/infopath/2007/PartnerControls"/>
    </lcf76f155ced4ddcb4097134ff3c332f>
    <TaxCatchAll xmlns="14c09639-0307-4883-89bb-5c20a8767eec" xsi:nil="true"/>
    <SharedWithUsers xmlns="14c09639-0307-4883-89bb-5c20a8767eec">
      <UserInfo>
        <DisplayName>Chrissie Frank</DisplayName>
        <AccountId>12</AccountId>
        <AccountType/>
      </UserInfo>
      <UserInfo>
        <DisplayName>Fatehah Ishak</DisplayName>
        <AccountId>9</AccountId>
        <AccountType/>
      </UserInfo>
      <UserInfo>
        <DisplayName>Liran Heizmann</DisplayName>
        <AccountId>64</AccountId>
        <AccountType/>
      </UserInfo>
      <UserInfo>
        <DisplayName>Stefan Engels</DisplayName>
        <AccountId>16</AccountId>
        <AccountType/>
      </UserInfo>
      <UserInfo>
        <DisplayName>Joana Emerick</DisplayName>
        <AccountId>18</AccountId>
        <AccountType/>
      </UserInfo>
      <UserInfo>
        <DisplayName>Natasha Smith</DisplayName>
        <AccountId>448</AccountId>
        <AccountType/>
      </UserInfo>
      <UserInfo>
        <DisplayName>Antje Doeltl</DisplayName>
        <AccountId>354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2D39ABECAB468ABB298DDBD15F8A" ma:contentTypeVersion="15" ma:contentTypeDescription="Create a new document." ma:contentTypeScope="" ma:versionID="3c45c316506c84d1bec8df45dc68951c">
  <xsd:schema xmlns:xsd="http://www.w3.org/2001/XMLSchema" xmlns:xs="http://www.w3.org/2001/XMLSchema" xmlns:p="http://schemas.microsoft.com/office/2006/metadata/properties" xmlns:ns2="c3839ebe-5145-4877-b081-59099619badf" xmlns:ns3="14c09639-0307-4883-89bb-5c20a8767eec" targetNamespace="http://schemas.microsoft.com/office/2006/metadata/properties" ma:root="true" ma:fieldsID="e0db2a9835d6d6e16c4d8630c6bbaf6f" ns2:_="" ns3:_="">
    <xsd:import namespace="c3839ebe-5145-4877-b081-59099619badf"/>
    <xsd:import namespace="14c09639-0307-4883-89bb-5c20a8767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9ebe-5145-4877-b081-59099619b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9ac77e2-9ba5-44c9-8641-963c09a092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09639-0307-4883-89bb-5c20a8767ee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ffee401-947f-4697-8cb5-2ed4d9d55163}" ma:internalName="TaxCatchAll" ma:showField="CatchAllData" ma:web="14c09639-0307-4883-89bb-5c20a8767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5</b:Tag>
    <b:SourceType>InternetSite</b:SourceType>
    <b:Guid>{A03E28A5-40AA-4D56-A36B-72ECC6646381}</b:Guid>
    <b:Title>Direct Indexing: The Next Big Thing?</b:Title>
    <b:URL>https://www.etf.com/sections/features-and-news/direct-indexing-next-big-thing?nopaging=1</b:URL>
    <b:Author>
      <b:Author>
        <b:NameList>
          <b:Person>
            <b:Last>Geraci</b:Last>
            <b:First>Nate</b:First>
          </b:Person>
        </b:NameList>
      </b:Author>
    </b:Author>
    <b:Year>2019</b:Year>
    <b:RefOrder>1</b:RefOrder>
  </b:Source>
  <b:Source>
    <b:Tag>Nad19</b:Tag>
    <b:SourceType>DocumentFromInternetSite</b:SourceType>
    <b:Guid>{A0780D98-5BBC-44BB-BD88-64024697A1EA}</b:Guid>
    <b:Title>Beyond ETFs: Direct Indexing</b:Title>
    <b:Year>2019</b:Year>
    <b:Author>
      <b:Author>
        <b:NameList>
          <b:Person>
            <b:Last>Nadig</b:Last>
            <b:First>D.</b:First>
          </b:Person>
        </b:NameList>
      </b:Author>
    </b:Author>
    <b:InternetSiteTitle>ETFs.com</b:InternetSiteTitle>
    <b:Month>September</b:Month>
    <b:Day>3</b:Day>
    <b:URL>https://www.etf.com/publications/etfr/beyond-etfs-direct-indexing?nopaging=1</b:URL>
    <b:RefOrder>2</b:RefOrder>
  </b:Source>
  <b:Source>
    <b:Tag>SYi21</b:Tag>
    <b:SourceType>Report</b:SourceType>
    <b:Guid>{48747EC9-F2A4-4A06-B91E-AD3CF7F6BDEA}</b:Guid>
    <b:Author>
      <b:Author>
        <b:NameList>
          <b:Person>
            <b:Last>Yildiz</b:Last>
            <b:First>S.</b:First>
          </b:Person>
        </b:NameList>
      </b:Author>
    </b:Author>
    <b:Title>Generating Tax Alpha with Optimized Index Tracking</b:Title>
    <b:Year>2021</b:Year>
    <b:Publisher>Qontigo Research Report</b:Publisher>
    <b:RefOrder>3</b:RefOrder>
  </b:Source>
  <b:Source>
    <b:Tag>3</b:Tag>
    <b:SourceType>InternetSite</b:SourceType>
    <b:Guid>{7B744761-AACD-4A82-86CA-3769F9DFD9BD}</b:Guid>
    <b:URL>https://qontigo.com/solutions/factor-indices-overview/</b:URL>
    <b:Title>Factor-based Indices</b:Title>
    <b:Author>
      <b:Author>
        <b:NameList>
          <b:Person>
            <b:Last>Qontigo</b:Last>
          </b:Person>
        </b:NameList>
      </b:Author>
    </b:Author>
    <b:Year>2021</b:Year>
    <b:RefOrder>4</b:RefOrder>
  </b:Source>
  <b:Source>
    <b:Tag>4</b:Tag>
    <b:SourceType>Report</b:SourceType>
    <b:Guid>{D96D0EAF-E881-4399-820E-46CFD4E6DC13}</b:Guid>
    <b:Title>STOXX Factor Indices: Targeted Factor Exposures with Managed Liquidity and Risk Profiles</b:Title>
    <b:Year>Jan 2020</b:Year>
    <b:Author>
      <b:Author>
        <b:NameList>
          <b:Person>
            <b:Last>Qontigo</b:Last>
          </b:Person>
        </b:NameList>
      </b:Author>
    </b:Author>
    <b:Publisher>Qontigo Applied Research</b:Publisher>
    <b:RefOrder>5</b:RefOrder>
  </b:Source>
  <b:Source>
    <b:Tag>2</b:Tag>
    <b:SourceType>JournalArticle</b:SourceType>
    <b:Guid>{5961B2EF-01A2-45F3-A5B2-9EBC946B4F51}</b:Guid>
    <b:Author>
      <b:Author>
        <b:NameList>
          <b:Person>
            <b:Last>Israel</b:Last>
            <b:First>R.</b:First>
          </b:Person>
          <b:Person>
            <b:Last>Moskowitz</b:Last>
            <b:First>T. J.</b:First>
          </b:Person>
        </b:NameList>
      </b:Author>
    </b:Author>
    <b:Title>How Tax Efficient are Equity Styles?</b:Title>
    <b:JournalName>Chicago Booth Research Paper</b:JournalName>
    <b:Year>2012</b:Year>
    <b:Pages>12-20</b:Pages>
    <b:RefOrder>6</b:RefOrder>
  </b:Source>
  <b:Source>
    <b:Tag>San16</b:Tag>
    <b:SourceType>JournalArticle</b:SourceType>
    <b:Guid>{E8C06809-AC39-48CC-B671-BF8DB895F868}</b:Guid>
    <b:Title>Tax Management of Factor-Based Portfolios</b:Title>
    <b:Year>Fall 2016</b:Year>
    <b:Author>
      <b:Author>
        <b:NameList>
          <b:Person>
            <b:Last>Santadomingo</b:Last>
            <b:First>R.,</b:First>
            <b:Middle>Nemtchinov, V. and Li, T.</b:Middle>
          </b:Person>
        </b:NameList>
      </b:Author>
    </b:Author>
    <b:JournalName>The Journal of Index Investing</b:JournalName>
    <b:Pages>78-86</b:Pages>
    <b:RefOrder>7</b:RefOrder>
  </b:Source>
  <b:Source>
    <b:Tag>Dun18</b:Tag>
    <b:SourceType>Report</b:SourceType>
    <b:Guid>{C6A43445-9963-4F06-9A7F-E96F6D0321B9}</b:Guid>
    <b:Author>
      <b:Author>
        <b:NameList>
          <b:Person>
            <b:Last>Dunn</b:Last>
            <b:First>J.,</b:First>
            <b:Middle>T. Huupponen, S. Krasner, and N. Sosner</b:Middle>
          </b:Person>
        </b:NameList>
      </b:Author>
    </b:Author>
    <b:Title>“Style Investing and Tax Efficiency: Building a More Tax Efficient Global Equity Portfolio for Australian Investors.</b:Title>
    <b:Year>2018</b:Year>
    <b:Publisher>AQR Management Paper</b:Publisher>
    <b:RefOrder>8</b:RefOrder>
  </b:Source>
  <b:Source>
    <b:Tag>1</b:Tag>
    <b:SourceType>JournalArticle</b:SourceType>
    <b:Guid>{EEFD583C-7AD5-43E9-93CA-00903BB88D88}</b:Guid>
    <b:Title>Tax-Managed Factor Strategies.</b:Title>
    <b:Year>2019</b:Year>
    <b:Author>
      <b:Author>
        <b:NameList>
          <b:Person>
            <b:Last>Goldberg</b:Last>
            <b:First>L.R.</b:First>
          </b:Person>
          <b:Person>
            <b:Last>Hand</b:Last>
            <b:First>P.</b:First>
          </b:Person>
          <b:Person>
            <b:Last>Cai</b:Last>
            <b:First>T.</b:First>
          </b:Person>
        </b:NameList>
      </b:Author>
    </b:Author>
    <b:JournalName>Financial Analysts Journal</b:JournalName>
    <b:Pages>79-90</b:Pages>
    <b:Volume>75</b:Volume>
    <b:Issue>2</b:Issue>
    <b:RefOrder>9</b:RefOrder>
  </b:Source>
  <b:Source>
    <b:Tag>Yil21</b:Tag>
    <b:SourceType>Report</b:SourceType>
    <b:Guid>{8AB6BB76-3D8F-4729-AB71-84E277C3A3E2}</b:Guid>
    <b:Author>
      <b:Author>
        <b:NameList>
          <b:Person>
            <b:Last>Yildiz</b:Last>
            <b:First>S.</b:First>
          </b:Person>
        </b:NameList>
      </b:Author>
    </b:Author>
    <b:Title>Winning by Losing --- Generating Tax Alpha with Optimized Index Tracking</b:Title>
    <b:Year>2021</b:Year>
    <b:Publisher>Qontigo Research</b:Publisher>
    <b:RefOrder>10</b:RefOrder>
  </b:Source>
  <b:Source>
    <b:Tag>Isr12</b:Tag>
    <b:SourceType>Report</b:SourceType>
    <b:Guid>{F9E61D8F-51F0-4BC4-9542-8700F18D81FE}</b:Guid>
    <b:Author>
      <b:Author>
        <b:NameList>
          <b:Person>
            <b:Last>Israel</b:Last>
            <b:First>Ronen</b:First>
          </b:Person>
          <b:Person>
            <b:Last>Moskowitz</b:Last>
            <b:First>Tobias</b:First>
          </b:Person>
        </b:NameList>
      </b:Author>
    </b:Author>
    <b:Title>How Tax Efficient are Equity Styles?</b:Title>
    <b:Year>2012</b:Year>
    <b:Publisher>SSRN</b:Publisher>
    <b:ThesisType>Chicago Booth Research Paper No. 12-20</b:ThesisType>
    <b:DOI>10.2139/ssrn.2089459</b:DOI>
    <b:URL>https://ssrn.com/abstract=2089459</b:URL>
    <b:RefOrder>1</b:RefOrder>
  </b:Source>
  <b:Source>
    <b:Tag>Siv21</b:Tag>
    <b:SourceType>Report</b:SourceType>
    <b:Guid>{04048931-1C8F-4C07-A5EB-01A0D06F9580}</b:Guid>
    <b:Title>Tax Management for Smart-Beta Indexes</b:Title>
    <b:Year>2021</b:Year>
    <b:Author>
      <b:Author>
        <b:NameList>
          <b:Person>
            <b:Last>Sivaramakrishnan</b:Last>
            <b:First>Kartik</b:First>
          </b:Person>
          <b:Person>
            <b:Last>Liu</b:Last>
            <b:First>Zhe</b:First>
          </b:Person>
        </b:NameList>
      </b:Author>
    </b:Author>
    <b:Publisher>Qontigo</b:Publisher>
    <b:RefOrder>2</b:RefOrder>
  </b:Source>
  <b:Source>
    <b:Tag>Lie20</b:Tag>
    <b:SourceType>ArticleInAPeriodical</b:SourceType>
    <b:Guid>{3B119540-08CA-42EC-BC99-5E1FB2202EF4}</b:Guid>
    <b:Title>A New Way to Invest for the Vengeful and the High-Minded</b:Title>
    <b:Year>2020</b:Year>
    <b:Author>
      <b:Author>
        <b:NameList>
          <b:Person>
            <b:Last>Lieber</b:Last>
            <b:First>Ron</b:First>
          </b:Person>
        </b:NameList>
      </b:Author>
    </b:Author>
    <b:PeriodicalTitle>The New York Times</b:PeriodicalTitle>
    <b:Month>December</b:Month>
    <b:Day>4</b:Day>
    <b:RefOrder>3</b:RefOrder>
  </b:Source>
  <b:Source>
    <b:Tag>Cha20</b:Tag>
    <b:SourceType>JournalArticle</b:SourceType>
    <b:Guid>{02AE788C-0E52-4D1A-B9A2-40448B80F059}</b:Guid>
    <b:Author>
      <b:Author>
        <b:NameList>
          <b:Person>
            <b:Last>Chaudhuri</b:Last>
            <b:First>Shomesh</b:First>
            <b:Middle>E.</b:Middle>
          </b:Person>
          <b:Person>
            <b:Last>Burnham</b:Last>
            <b:First>Terence</b:First>
            <b:Middle>C.</b:Middle>
          </b:Person>
          <b:Person>
            <b:Last>Lo</b:Last>
            <b:First>Andrew</b:First>
            <b:Middle>W.</b:Middle>
          </b:Person>
        </b:NameList>
      </b:Author>
    </b:Author>
    <b:Title>An Empirical Evaluation of Tax-Loss-Harvesting Alpha</b:Title>
    <b:JournalName>Financial Analysts Journal</b:JournalName>
    <b:Year>2020</b:Year>
    <b:Pages>99-108</b:Pages>
    <b:Volume>76</b:Volume>
    <b:Issue>3</b:Issue>
    <b:DOI>10.1080/0015198X.2020.1760064</b:DOI>
    <b:RefOrder>4</b:RefOrder>
  </b:Source>
  <b:Source>
    <b:Tag>Gol19</b:Tag>
    <b:SourceType>JournalArticle</b:SourceType>
    <b:Guid>{513B0152-5DC2-4881-BB0A-6807E7AB8109}</b:Guid>
    <b:Title>Tax-Managed Factor Strategies</b:Title>
    <b:Year>2019</b:Year>
    <b:Pages>79-90</b:Pages>
    <b:Author>
      <b:Author>
        <b:NameList>
          <b:Person>
            <b:Last>Goldberg</b:Last>
            <b:First>Lisa</b:First>
            <b:Middle>R.</b:Middle>
          </b:Person>
          <b:Person>
            <b:Last>Hand</b:Last>
            <b:First>Pete</b:First>
          </b:Person>
          <b:Person>
            <b:Last>Cai</b:Last>
            <b:First>Taotao</b:First>
          </b:Person>
        </b:NameList>
      </b:Author>
    </b:Author>
    <b:JournalName>Financial Analysts Journal</b:JournalName>
    <b:Volume>75</b:Volume>
    <b:Issue>2</b:Issue>
    <b:DOI>10.1080/0015198X.2019.1567191</b:DOI>
    <b:RefOrder>5</b:RefOrder>
  </b:Source>
  <b:Source>
    <b:Tag>Jef93</b:Tag>
    <b:SourceType>JournalArticle</b:SourceType>
    <b:Guid>{E49C322B-62E0-4F71-87E0-7E7BA59BAD1B}</b:Guid>
    <b:Author>
      <b:Author>
        <b:NameList>
          <b:Person>
            <b:Last>Jeffrey</b:Last>
            <b:First>Robert</b:First>
            <b:Middle>H.</b:Middle>
          </b:Person>
          <b:Person>
            <b:Last>Arnott</b:Last>
            <b:First>Robert</b:First>
            <b:Middle>D.</b:Middle>
          </b:Person>
        </b:NameList>
      </b:Author>
    </b:Author>
    <b:Title>Is Your Alpha Big Enough to Cover Its Taxes?</b:Title>
    <b:JournalName>The Journal of Portfolio Management</b:JournalName>
    <b:Year>1993</b:Year>
    <b:Pages>15-25</b:Pages>
    <b:Volume>19</b:Volume>
    <b:Issue>3</b:Issue>
    <b:DOI>10.3905/jpm.1993.710867</b:DOI>
    <b:RefOrder>6</b:RefOrder>
  </b:Source>
  <b:Source>
    <b:Tag>Ber03</b:Tag>
    <b:SourceType>JournalArticle</b:SourceType>
    <b:Guid>{740EB7CE-0F14-4E59-8A08-B019AF81BF2E}</b:Guid>
    <b:Author>
      <b:Author>
        <b:NameList>
          <b:Person>
            <b:Last>Berkin</b:Last>
            <b:First>Andrew</b:First>
            <b:Middle>L.</b:Middle>
          </b:Person>
          <b:Person>
            <b:Last>Ye</b:Last>
            <b:First>Jia</b:First>
          </b:Person>
        </b:NameList>
      </b:Author>
    </b:Author>
    <b:Title>Tax Management, Loss Harvesting, and HIFO Accounting</b:Title>
    <b:JournalName>Financial Analysts Journal</b:JournalName>
    <b:Year>2003</b:Year>
    <b:Pages>91-102</b:Pages>
    <b:Volume>59</b:Volume>
    <b:Issue>4</b:Issue>
    <b:DOI>10.2469/faj.v59.n4.2548</b:DOI>
    <b:RefOrder>7</b:RefOrder>
  </b:Source>
  <b:Source>
    <b:Tag>Arn011</b:Tag>
    <b:SourceType>JournalArticle</b:SourceType>
    <b:Guid>{2E57E090-F212-45F8-9FF8-DFE1DE22FC17}</b:Guid>
    <b:Author>
      <b:Author>
        <b:NameList>
          <b:Person>
            <b:Last>Arnott</b:Last>
            <b:First>Robert</b:First>
            <b:Middle>D.</b:Middle>
          </b:Person>
          <b:Person>
            <b:Last>Berkin</b:Last>
            <b:First>Andrew</b:First>
            <b:Middle>L.</b:Middle>
          </b:Person>
          <b:Person>
            <b:Last>Ye</b:Last>
            <b:First>Jia</b:First>
          </b:Person>
        </b:NameList>
      </b:Author>
    </b:Author>
    <b:Title>Loss Harvesting: What's It Worth to the Taxable Investor?</b:Title>
    <b:JournalName>The Journal of Wealth Management</b:JournalName>
    <b:Year>2001</b:Year>
    <b:Pages>10-18</b:Pages>
    <b:Volume>3</b:Volume>
    <b:Issue>4</b:Issue>
    <b:DOI>10.3905/jwm.2001.320390</b:DOI>
    <b:RefOrder>8</b:RefOrder>
  </b:Source>
  <b:Source>
    <b:Tag>Ste99</b:Tag>
    <b:SourceType>JournalArticle</b:SourceType>
    <b:Guid>{421C8E88-9EC7-4FAC-8184-26166715A111}</b:Guid>
    <b:Author>
      <b:Author>
        <b:NameList>
          <b:Person>
            <b:Last>Stein</b:Last>
            <b:First>David</b:First>
            <b:Middle>M. and Narasimhan, Premkumar</b:Middle>
          </b:Person>
        </b:NameList>
      </b:Author>
    </b:Author>
    <b:Title>Of Passive and Active Equity Portfolios in the Presence of Taxes</b:Title>
    <b:JournalName>The Journal of Wealth Management</b:JournalName>
    <b:Year>1999</b:Year>
    <b:Pages>55-63</b:Pages>
    <b:Volume>2</b:Volume>
    <b:Issue>2</b:Issue>
    <b:DOI>10.3905/jwm.1999.320359</b:DOI>
    <b:RefOrder>9</b:RefOrder>
  </b:Source>
  <b:Source>
    <b:Tag>Placeholder1</b:Tag>
    <b:SourceType>JournalArticle</b:SourceType>
    <b:Guid>{EACB0D15-C91F-41DC-9CBF-1A467BD06186}</b:Guid>
    <b:Author>
      <b:Author>
        <b:NameList>
          <b:Person>
            <b:Last>Santodomingo</b:Last>
            <b:First>Rey</b:First>
          </b:Person>
          <b:Person>
            <b:Last>Nemtchinov</b:Last>
            <b:First>Vassilii</b:First>
          </b:Person>
          <b:Person>
            <b:Last>Li</b:Last>
            <b:First>Tianchuan</b:First>
          </b:Person>
        </b:NameList>
      </b:Author>
    </b:Author>
    <b:Title>Tax Management of Factor-Based Portfolios</b:Title>
    <b:JournalName>The Journal of Index Investing</b:JournalName>
    <b:Year>2016</b:Year>
    <b:Pages>78-86</b:Pages>
    <b:Volume>7</b:Volume>
    <b:Issue>2</b:Issue>
    <b:DOI>10.3905/jii.2016.7.2.078</b:DOI>
    <b:RefOrder>10</b:RefOrder>
  </b:Source>
  <b:Source>
    <b:Tag>Ber13</b:Tag>
    <b:SourceType>JournalArticle</b:SourceType>
    <b:Guid>{DA7EF2B8-0AAA-485B-8749-1BD97782DB89}</b:Guid>
    <b:Author>
      <b:Author>
        <b:NameList>
          <b:Person>
            <b:Last>Bergstresser</b:Last>
            <b:First>Daniel</b:First>
          </b:Person>
          <b:Person>
            <b:Last>Pontiff</b:Last>
            <b:First>Jeffrey</b:First>
          </b:Person>
        </b:NameList>
      </b:Author>
    </b:Author>
    <b:Title>Investment Taxation and Portfolio Performance</b:Title>
    <b:JournalName>Journal of Public Economics</b:JournalName>
    <b:Year>2013</b:Year>
    <b:Pages>245-257</b:Pages>
    <b:Volume>97</b:Volume>
    <b:DOI>10.1016/j.jpubeco.2012.04.005</b:DOI>
    <b:RefOrder>11</b:RefOrder>
  </b:Source>
  <b:Source>
    <b:Tag>Con83</b:Tag>
    <b:SourceType>JournalArticle</b:SourceType>
    <b:Guid>{AD973A0B-95E5-4051-94E7-20E88D271F64}</b:Guid>
    <b:Title>Capital Market Equilibrium with Personal Tax</b:Title>
    <b:Year>1983</b:Year>
    <b:Author>
      <b:Author>
        <b:NameList>
          <b:Person>
            <b:Last>Constantinides</b:Last>
            <b:First>George</b:First>
            <b:Middle>M</b:Middle>
          </b:Person>
        </b:NameList>
      </b:Author>
    </b:Author>
    <b:JournalName>Econometrica</b:JournalName>
    <b:Pages>611–636</b:Pages>
    <b:Volume>51</b:Volume>
    <b:Issue>3</b:Issue>
    <b:DOI>10.2307/1912150</b:DOI>
    <b:RefOrder>12</b:RefOrder>
  </b:Source>
  <b:Source>
    <b:Tag>Pat19</b:Tag>
    <b:SourceType>Report</b:SourceType>
    <b:Guid>{E9F968B6-91ED-4F46-B840-CD5F5223E674}</b:Guid>
    <b:Author>
      <b:Author>
        <b:NameList>
          <b:Person>
            <b:Last>Geddes</b:Last>
            <b:First>Patrick</b:First>
          </b:Person>
          <b:Person>
            <b:Last>Tymoczko</b:Last>
            <b:First>Robert</b:First>
          </b:Person>
        </b:NameList>
      </b:Author>
    </b:Author>
    <b:Title>Indexed ETFs vs. Indexed Separately Managed Accounts: A User’s Guide</b:Title>
    <b:Year>2019</b:Year>
    <b:Publisher>Aperio Group</b:Publisher>
    <b:RefOrder>13</b:RefOrder>
  </b:Source>
  <b:Source>
    <b:Tag>San20</b:Tag>
    <b:SourceType>Report</b:SourceType>
    <b:Guid>{5A06A816-7553-4511-A110-23CB5F507524}</b:Guid>
    <b:Title>Tax-Managed SMAs: Better Than ETFs?</b:Title>
    <b:Year>2020</b:Year>
    <b:Author>
      <b:Author>
        <b:NameList>
          <b:Person>
            <b:Last>Santodomingo</b:Last>
            <b:First>Rey</b:First>
          </b:Person>
          <b:Person>
            <b:Last>Subkoviak</b:Last>
            <b:First>Andrew</b:First>
          </b:Person>
        </b:NameList>
      </b:Author>
    </b:Author>
    <b:Publisher>Parametric Portfolio Associates</b:Publisher>
    <b:RefOrder>14</b:RefOrder>
  </b:Source>
  <b:Source>
    <b:Tag>Wal20</b:Tag>
    <b:SourceType>Report</b:SourceType>
    <b:Guid>{ECBC11A6-025E-4344-BC14-7A4E2B292515}</b:Guid>
    <b:Title>A Tax-Managed Investing Technology and Analytics Solution</b:Title>
    <b:Year>2020</b:Year>
    <b:Publisher>Qontigo</b:Publisher>
    <b:Author>
      <b:Author>
        <b:NameList>
          <b:Person>
            <b:Last>Bandar</b:Last>
            <b:First>Walid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6E82EF81-CA87-4FEE-830E-E87D97F6ABD1}">
  <ds:schemaRefs>
    <ds:schemaRef ds:uri="http://schemas.microsoft.com/office/2006/metadata/properties"/>
    <ds:schemaRef ds:uri="http://schemas.microsoft.com/office/infopath/2007/PartnerControls"/>
    <ds:schemaRef ds:uri="c3839ebe-5145-4877-b081-59099619badf"/>
    <ds:schemaRef ds:uri="14c09639-0307-4883-89bb-5c20a8767eec"/>
  </ds:schemaRefs>
</ds:datastoreItem>
</file>

<file path=customXml/itemProps2.xml><?xml version="1.0" encoding="utf-8"?>
<ds:datastoreItem xmlns:ds="http://schemas.openxmlformats.org/officeDocument/2006/customXml" ds:itemID="{120FBBD5-3C78-462D-B0F9-F215DB3EC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1236F-1E5C-4F6D-ACBB-8986CC735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39ebe-5145-4877-b081-59099619badf"/>
    <ds:schemaRef ds:uri="14c09639-0307-4883-89bb-5c20a8767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557674-24A8-1848-AA3A-86FAECFA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QON_WP_TEMPLATE_2022-R3.dotx</Template>
  <TotalTime>29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Franz</dc:creator>
  <cp:keywords/>
  <dc:description/>
  <cp:lastModifiedBy>Yuki Sun</cp:lastModifiedBy>
  <cp:revision>45</cp:revision>
  <cp:lastPrinted>2021-01-20T22:23:00Z</cp:lastPrinted>
  <dcterms:created xsi:type="dcterms:W3CDTF">2024-02-21T13:55:00Z</dcterms:created>
  <dcterms:modified xsi:type="dcterms:W3CDTF">2025-01-23T13:11:00Z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8590a-cd37-48a0-bcdf-bb95a1e956aa_Enabled">
    <vt:lpwstr>true</vt:lpwstr>
  </property>
  <property fmtid="{D5CDD505-2E9C-101B-9397-08002B2CF9AE}" pid="3" name="MSIP_Label_e348590a-cd37-48a0-bcdf-bb95a1e956aa_SetDate">
    <vt:lpwstr>2023-09-13T14:27:49Z</vt:lpwstr>
  </property>
  <property fmtid="{D5CDD505-2E9C-101B-9397-08002B2CF9AE}" pid="4" name="MSIP_Label_e348590a-cd37-48a0-bcdf-bb95a1e956aa_Method">
    <vt:lpwstr>Standard</vt:lpwstr>
  </property>
  <property fmtid="{D5CDD505-2E9C-101B-9397-08002B2CF9AE}" pid="5" name="MSIP_Label_e348590a-cd37-48a0-bcdf-bb95a1e956aa_Name">
    <vt:lpwstr>General</vt:lpwstr>
  </property>
  <property fmtid="{D5CDD505-2E9C-101B-9397-08002B2CF9AE}" pid="6" name="MSIP_Label_e348590a-cd37-48a0-bcdf-bb95a1e956aa_SiteId">
    <vt:lpwstr>11327939-c4f6-4962-83ee-863b42bdc06e</vt:lpwstr>
  </property>
  <property fmtid="{D5CDD505-2E9C-101B-9397-08002B2CF9AE}" pid="7" name="MSIP_Label_e348590a-cd37-48a0-bcdf-bb95a1e956aa_ActionId">
    <vt:lpwstr>731cab23-469c-4641-ac53-55a115d8033f</vt:lpwstr>
  </property>
  <property fmtid="{D5CDD505-2E9C-101B-9397-08002B2CF9AE}" pid="8" name="MSIP_Label_e348590a-cd37-48a0-bcdf-bb95a1e956aa_ContentBits">
    <vt:lpwstr>0</vt:lpwstr>
  </property>
  <property fmtid="{D5CDD505-2E9C-101B-9397-08002B2CF9AE}" pid="9" name="ContentTypeId">
    <vt:lpwstr>0x010100B5592D39ABECAB468ABB298DDBD15F8A</vt:lpwstr>
  </property>
  <property fmtid="{D5CDD505-2E9C-101B-9397-08002B2CF9AE}" pid="10" name="MediaServiceImageTags">
    <vt:lpwstr/>
  </property>
</Properties>
</file>