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16707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ECCV 2024 "A Simple Baseline"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首选</w:t>
      </w:r>
    </w:p>
    <w:p w14:paraId="76A96A75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"https://github.com/FangyunWei/SLRT"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https://github.com/FangyunWei/SLRT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F4A98E7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3C366C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6"/>
          <w:rFonts w:ascii="宋体" w:hAnsi="宋体" w:eastAsia="宋体" w:cs="宋体"/>
          <w:sz w:val="24"/>
          <w:szCs w:val="24"/>
        </w:rPr>
        <w:t>A Simple Baseline for Spoken Language to Sign Language Translation with 3D Avatars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作者：Ronglai Zuo, Fangyun Wei, Zenggui Chen, Brian Mak, Jiaolong Yang, Xin Tong</w:t>
      </w:r>
    </w:p>
    <w:p w14:paraId="099DEF78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论文：ECCV 2024</w:t>
      </w:r>
    </w:p>
    <w:p w14:paraId="351C2AEA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8EF7D55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推荐理由：</w:t>
      </w:r>
    </w:p>
    <w:p w14:paraId="33859364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现有Elise模型的两个方向：①音频转手语 ②手语转文字；方向②</w:t>
      </w:r>
      <w:r>
        <w:rPr>
          <w:rFonts w:ascii="宋体" w:hAnsi="宋体" w:eastAsia="宋体" w:cs="宋体"/>
          <w:sz w:val="24"/>
          <w:szCs w:val="24"/>
        </w:rPr>
        <w:t>已经用了 Uni-Sign（ICLR 2025，排名很高的方法），继续在这个方向"找更好的模型"边际收益有限——Uni-Sign 在 CSL-Daily 和 OpenASL 等数据集上已经是 SOTA 级别的结果。</w:t>
      </w:r>
    </w:p>
    <w:p w14:paraId="75891996">
      <w:pPr>
        <w:numPr>
          <w:numId w:val="0"/>
        </w:numPr>
        <w:rPr>
          <w:rFonts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而方向①</w:t>
      </w:r>
      <w:r>
        <w:rPr>
          <w:rFonts w:ascii="宋体" w:hAnsi="宋体" w:eastAsia="宋体" w:cs="宋体"/>
          <w:sz w:val="24"/>
          <w:szCs w:val="24"/>
        </w:rPr>
        <w:t>当前系统没有"文本到动作生成"的能力，只有几条固定动画。</w:t>
      </w:r>
      <w:r>
        <w:rPr>
          <w:rStyle w:val="6"/>
          <w:rFonts w:ascii="宋体" w:hAnsi="宋体" w:eastAsia="宋体" w:cs="宋体"/>
          <w:b w:val="0"/>
          <w:bCs/>
          <w:sz w:val="24"/>
          <w:szCs w:val="24"/>
        </w:rPr>
        <w:t>引入一个 Sign Language Production (SLP) 模型，把 lexicon 匹配替换成真实的动作生成</w:t>
      </w:r>
      <w:r>
        <w:rPr>
          <w:rFonts w:ascii="宋体" w:hAnsi="宋体" w:eastAsia="宋体" w:cs="宋体"/>
          <w:b w:val="0"/>
          <w:bCs/>
          <w:sz w:val="24"/>
          <w:szCs w:val="24"/>
        </w:rPr>
        <w:t>，这是质变级的改进。</w:t>
      </w:r>
    </w:p>
    <w:p w14:paraId="5C2B43CE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同时其输出类型是</w:t>
      </w:r>
      <w:r>
        <w:rPr>
          <w:rStyle w:val="6"/>
          <w:rFonts w:ascii="宋体" w:hAnsi="宋体" w:eastAsia="宋体" w:cs="宋体"/>
          <w:b w:val="0"/>
          <w:bCs/>
          <w:sz w:val="24"/>
          <w:szCs w:val="24"/>
        </w:rPr>
        <w:t>SMPL-X 3D 人体姿态参数序列</w:t>
      </w:r>
      <w:r>
        <w:rPr>
          <w:rFonts w:ascii="宋体" w:hAnsi="宋体" w:eastAsia="宋体" w:cs="宋体"/>
          <w:b w:val="0"/>
          <w:bCs/>
          <w:sz w:val="24"/>
          <w:szCs w:val="24"/>
        </w:rPr>
        <w:t xml:space="preserve"> + 可渲染的 3D 虚拟人动画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b w:val="0"/>
          <w:bCs/>
          <w:sz w:val="24"/>
          <w:szCs w:val="24"/>
        </w:rPr>
        <w:t>和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原模型的</w:t>
      </w:r>
      <w:r>
        <w:rPr>
          <w:rFonts w:ascii="宋体" w:hAnsi="宋体" w:eastAsia="宋体" w:cs="宋体"/>
          <w:b w:val="0"/>
          <w:bCs/>
          <w:sz w:val="24"/>
          <w:szCs w:val="24"/>
        </w:rPr>
        <w:t xml:space="preserve"> UE5 数字人天然对接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同一篇论文也包含 text→sign 的翻译评估，可以和现有的 Uni-Sign 做对比实验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F0E9B54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5BC4FF7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ICCV 2025 "Signs as Tokens"</w:t>
      </w:r>
    </w:p>
    <w:p w14:paraId="0CA63FA9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"https://github.com/2000ZRL/SOKE"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https://github.com/2000ZRL/SOKE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7987F57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EDD2D2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Signs as Tokens: A Retrieval-Enhanced Multilingual Sign Language Generator</w:t>
      </w:r>
    </w:p>
    <w:p w14:paraId="7E9617FC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3B1006B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推荐理由：</w:t>
      </w:r>
    </w:p>
    <w:p w14:paraId="495D7DA5">
      <w:pPr>
        <w:numPr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相比方案1的优势：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Simple Baseline 的核心思路是"查词典+线性插值"——把文本翻译成 gloss，再从词典里找出对应的 3D 姿态，然后插值连接。SOKE 做的则是</w:t>
      </w:r>
      <w:r>
        <w:rPr>
          <w:rStyle w:val="6"/>
          <w:rFonts w:ascii="宋体" w:hAnsi="宋体" w:eastAsia="宋体" w:cs="宋体"/>
          <w:b w:val="0"/>
          <w:bCs w:val="0"/>
          <w:sz w:val="24"/>
          <w:szCs w:val="24"/>
        </w:rPr>
        <w:t>端到端的自回归生成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：训练一个解耦的 tokenizer 把 SMPL-X 姿态离散化成 token 序列（身体/双手/面部各走一个分支），再用 mBART 这个预训练语言模型来自回归预测动作 token 序列。整个流程不需要查词典，是从文本直接生成完整动作。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且SOKE支持三种手语——中国手语、德国手语和美国手语。</w:t>
      </w:r>
    </w:p>
    <w:p w14:paraId="33D0FB2C"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②更高质量的动作生成：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多 head 解码——身体、左手、右手、面部是并行预测的，不走扁平化序列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检索增强——通过外部手语词典提供词级辅助信号，生成的手语准确率更高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推理效率更高（多 token 同时预测）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48FCDC0D"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但也有局限性，即复现成本更高，且与现有Elise的适配路径匹配度较低。</w:t>
      </w:r>
    </w:p>
    <w:p w14:paraId="195DFC69"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A709CFA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b w:val="0"/>
          <w:bCs/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sz w:val="24"/>
          <w:szCs w:val="24"/>
        </w:rPr>
        <w:t>Sign-IDD</w:t>
      </w:r>
      <w:r>
        <w:rPr>
          <w:rFonts w:ascii="宋体" w:hAnsi="宋体" w:eastAsia="宋体" w:cs="宋体"/>
          <w:b w:val="0"/>
          <w:bCs/>
          <w:sz w:val="24"/>
          <w:szCs w:val="24"/>
        </w:rPr>
        <w:t xml:space="preserve"> (AAAI 2025)</w:t>
      </w:r>
    </w:p>
    <w:p w14:paraId="600A6C7B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"https://github.com/NaVi-start/Sign-IDD"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https://github.com/NaVi-start/Sign-IDD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0E41B27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836C56B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Sign-IDD: Iconicity Disentangled Diffusion for Sign Language Production</w:t>
      </w:r>
    </w:p>
    <w:p w14:paraId="588495F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0BBDB4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推荐理由：</w:t>
      </w:r>
    </w:p>
    <w:p w14:paraId="156E9171">
      <w:pPr>
        <w:numPr>
          <w:numId w:val="0"/>
        </w:numPr>
        <w:ind w:leftChars="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Sign-IDD 的核心创新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它提出了"手语标志性解纠缠"（Iconicity Disentanglement）的概念——手语中的一些手势是</w:t>
      </w:r>
      <w:r>
        <w:rPr>
          <w:rStyle w:val="6"/>
          <w:rFonts w:ascii="宋体" w:hAnsi="宋体" w:eastAsia="宋体" w:cs="宋体"/>
          <w:b w:val="0"/>
          <w:bCs w:val="0"/>
          <w:sz w:val="24"/>
          <w:szCs w:val="24"/>
        </w:rPr>
        <w:t>象形的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（比如"吃"的手势模仿吃东西的动作），另一些是</w:t>
      </w:r>
      <w:r>
        <w:rPr>
          <w:rStyle w:val="6"/>
          <w:rFonts w:ascii="宋体" w:hAnsi="宋体" w:eastAsia="宋体" w:cs="宋体"/>
          <w:b w:val="0"/>
          <w:bCs w:val="0"/>
          <w:sz w:val="24"/>
          <w:szCs w:val="24"/>
        </w:rPr>
        <w:t>约定的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（约定俗成的固定手势）。Sign-IDD 用一个扩散模型在生成过程中把这两类手势分离开来处理，生成效果更好。</w:t>
      </w:r>
    </w:p>
    <w:p w14:paraId="3F384C0C">
      <w:pPr>
        <w:numPr>
          <w:numId w:val="0"/>
        </w:numPr>
        <w:ind w:leftChars="0"/>
        <w:rPr>
          <w:rFonts w:ascii="宋体" w:hAnsi="宋体" w:eastAsia="宋体" w:cs="宋体"/>
          <w:b w:val="0"/>
          <w:bCs w:val="0"/>
          <w:sz w:val="24"/>
          <w:szCs w:val="24"/>
        </w:rPr>
      </w:pPr>
    </w:p>
    <w:p w14:paraId="063DA7FF">
      <w:pPr>
        <w:numPr>
          <w:numId w:val="0"/>
        </w:numPr>
        <w:ind w:leftChars="0"/>
        <w:rPr>
          <w:rFonts w:ascii="宋体" w:hAnsi="宋体" w:eastAsia="宋体" w:cs="宋体"/>
          <w:b w:val="0"/>
          <w:bCs w:val="0"/>
          <w:sz w:val="24"/>
          <w:szCs w:val="24"/>
        </w:rPr>
      </w:pPr>
    </w:p>
    <w:p w14:paraId="21B33386">
      <w:pPr>
        <w:numPr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最后附上三个备选方案的对比：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</w:p>
    <w:tbl>
      <w:tblPr>
        <w:tblStyle w:val="4"/>
        <w:tblW w:w="95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2457"/>
      </w:tblGrid>
      <w:tr w14:paraId="718C4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BE02E02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论文</w:t>
            </w:r>
          </w:p>
        </w:tc>
        <w:tc>
          <w:tcPr>
            <w:tcW w:w="1420" w:type="dxa"/>
          </w:tcPr>
          <w:p w14:paraId="4FA03E16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会议</w:t>
            </w:r>
          </w:p>
        </w:tc>
        <w:tc>
          <w:tcPr>
            <w:tcW w:w="1420" w:type="dxa"/>
          </w:tcPr>
          <w:p w14:paraId="1A0C023B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代码状态</w:t>
            </w:r>
          </w:p>
        </w:tc>
        <w:tc>
          <w:tcPr>
            <w:tcW w:w="1420" w:type="dxa"/>
          </w:tcPr>
          <w:p w14:paraId="3D2848A2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核心技术</w:t>
            </w:r>
          </w:p>
        </w:tc>
        <w:tc>
          <w:tcPr>
            <w:tcW w:w="1421" w:type="dxa"/>
          </w:tcPr>
          <w:p w14:paraId="584DB94F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输出形式</w:t>
            </w:r>
          </w:p>
        </w:tc>
        <w:tc>
          <w:tcPr>
            <w:tcW w:w="2457" w:type="dxa"/>
          </w:tcPr>
          <w:p w14:paraId="00FB5CD1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与Elise的集成方式</w:t>
            </w:r>
          </w:p>
        </w:tc>
      </w:tr>
      <w:tr w14:paraId="58EAB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61A8F55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Simple Baseline</w:t>
            </w:r>
          </w:p>
        </w:tc>
        <w:tc>
          <w:tcPr>
            <w:tcW w:w="1420" w:type="dxa"/>
          </w:tcPr>
          <w:p w14:paraId="4842BE70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ECCV 2024</w:t>
            </w:r>
          </w:p>
        </w:tc>
        <w:tc>
          <w:tcPr>
            <w:tcW w:w="1420" w:type="dxa"/>
          </w:tcPr>
          <w:p w14:paraId="2B986650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完整开源</w:t>
            </w:r>
          </w:p>
          <w:p w14:paraId="2D0BDD5F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300EBD04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pipeline+插值</w:t>
            </w:r>
          </w:p>
        </w:tc>
        <w:tc>
          <w:tcPr>
            <w:tcW w:w="1421" w:type="dxa"/>
          </w:tcPr>
          <w:p w14:paraId="1EF23A13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SMPL-X 3D</w:t>
            </w:r>
          </w:p>
          <w:p w14:paraId="5F461DDE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57" w:type="dxa"/>
          </w:tcPr>
          <w:p w14:paraId="6F1D128A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驱动 UE5 骨骼</w:t>
            </w:r>
          </w:p>
          <w:p w14:paraId="2A85F861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CA5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C14A599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 xml:space="preserve"> SOKE </w:t>
            </w:r>
          </w:p>
        </w:tc>
        <w:tc>
          <w:tcPr>
            <w:tcW w:w="1420" w:type="dxa"/>
          </w:tcPr>
          <w:p w14:paraId="187F8A13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ICCV 2025</w:t>
            </w:r>
          </w:p>
        </w:tc>
        <w:tc>
          <w:tcPr>
            <w:tcW w:w="1420" w:type="dxa"/>
          </w:tcPr>
          <w:p w14:paraId="1872D933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完整开源</w:t>
            </w:r>
          </w:p>
        </w:tc>
        <w:tc>
          <w:tcPr>
            <w:tcW w:w="1420" w:type="dxa"/>
          </w:tcPr>
          <w:p w14:paraId="53A157F6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自回归+mBART</w:t>
            </w:r>
          </w:p>
        </w:tc>
        <w:tc>
          <w:tcPr>
            <w:tcW w:w="1421" w:type="dxa"/>
          </w:tcPr>
          <w:p w14:paraId="306C2825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SMPL-X 3D</w:t>
            </w:r>
          </w:p>
        </w:tc>
        <w:tc>
          <w:tcPr>
            <w:tcW w:w="2457" w:type="dxa"/>
          </w:tcPr>
          <w:p w14:paraId="34380D82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驱动 UE5 骨骼</w:t>
            </w:r>
          </w:p>
        </w:tc>
      </w:tr>
      <w:tr w14:paraId="52426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BFA26D7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 xml:space="preserve">Sign-IDD </w:t>
            </w:r>
          </w:p>
        </w:tc>
        <w:tc>
          <w:tcPr>
            <w:tcW w:w="1420" w:type="dxa"/>
          </w:tcPr>
          <w:p w14:paraId="521A435F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AAAI 2025</w:t>
            </w:r>
          </w:p>
        </w:tc>
        <w:tc>
          <w:tcPr>
            <w:tcW w:w="1420" w:type="dxa"/>
          </w:tcPr>
          <w:p w14:paraId="1B2BF985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完整开源</w:t>
            </w:r>
          </w:p>
        </w:tc>
        <w:tc>
          <w:tcPr>
            <w:tcW w:w="1420" w:type="dxa"/>
          </w:tcPr>
          <w:p w14:paraId="69814B0D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Diffusion+解纠缠</w:t>
            </w:r>
          </w:p>
        </w:tc>
        <w:tc>
          <w:tcPr>
            <w:tcW w:w="1421" w:type="dxa"/>
          </w:tcPr>
          <w:p w14:paraId="2BD76767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3D 姿态</w:t>
            </w:r>
          </w:p>
        </w:tc>
        <w:tc>
          <w:tcPr>
            <w:tcW w:w="2457" w:type="dxa"/>
          </w:tcPr>
          <w:p w14:paraId="23518129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</w:rPr>
              <w:t>驱动 UE5 骨骼</w:t>
            </w:r>
          </w:p>
          <w:p w14:paraId="5886E1F7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63D8517">
      <w:pPr>
        <w:numPr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F4FAF17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 w14:paraId="71138318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AAE688"/>
    <w:multiLevelType w:val="singleLevel"/>
    <w:tmpl w:val="21AAE68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C2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2026-07-14T12:09:28Z</dcterms:created>
  <dc:creator>zsy</dc:creator>
  <cp:lastModifiedBy>zsy</cp:lastModifiedBy>
  <dcterms:modified xsi:type="dcterms:W3CDTF">2026-07-14T12:47:13Z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eyJoZGlkIjoiMjdkZDU3M2Y3YTFkOWU5Yjg4YzMxZjAyNmEwZDQ0MjciLCJ1c2VySWQiOiIxMDA4MDExODY4In0=</vt:lpwstr>
  </property>
  <property fmtid="{D5CDD505-2E9C-101B-9397-08002B2CF9AE}" pid="4" name="ICV">
    <vt:lpwstr>95531EDE111F44C7AB37062FAD53BC0E_12</vt:lpwstr>
  </property>
</Properties>
</file>