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Zillionaire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</w:t>
      </w:r>
      <w:r>
        <w:rPr>
          <w:rFonts w:hint="eastAsia"/>
          <w:sz w:val="28"/>
          <w:lang w:val="en-US" w:eastAsia="zh-CN"/>
        </w:rPr>
        <w:t>3</w:t>
      </w:r>
      <w:r>
        <w:rPr>
          <w:sz w:val="28"/>
          <w:lang w:eastAsia="zh-CN"/>
        </w:rPr>
        <w:t>&gt;</w:t>
      </w:r>
    </w:p>
    <w:p>
      <w:pPr>
        <w:pStyle w:val="29"/>
        <w:rPr>
          <w:sz w:val="28"/>
          <w:lang w:eastAsia="zh-CN"/>
        </w:r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5日</w:t>
            </w:r>
            <w: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编写测试用例文档。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陈嘉南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5日</w:t>
            </w:r>
            <w: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1.1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增加部分测试用例。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hint="eastAsia"/>
                <w:lang w:val="en-US" w:eastAsia="zh-CN"/>
              </w:rPr>
              <w:t>陈嘉南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7日</w:t>
            </w:r>
            <w: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1.2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增加部分测试用例。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hint="eastAsia"/>
                <w:lang w:val="en-US" w:eastAsia="zh-CN"/>
              </w:rPr>
              <w:t>陈嘉南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extDirection w:val="lrTb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10日</w:t>
            </w:r>
            <w: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textDirection w:val="lrTb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1.3</w:t>
            </w:r>
            <w:r>
              <w:t>&gt;</w:t>
            </w:r>
          </w:p>
        </w:tc>
        <w:tc>
          <w:tcPr>
            <w:tcW w:w="3744" w:type="dxa"/>
            <w:textDirection w:val="lrTb"/>
            <w:vAlign w:val="top"/>
          </w:tcPr>
          <w:p>
            <w:pPr>
              <w:pStyle w:val="40"/>
            </w:pPr>
            <w:r>
              <w:rPr>
                <w:rFonts w:hint="eastAsia"/>
                <w:lang w:val="en-US" w:eastAsia="zh-CN"/>
              </w:rPr>
              <w:t>根据修改后的SRS文档修改、增加部分测试用例。</w:t>
            </w:r>
          </w:p>
        </w:tc>
        <w:tc>
          <w:tcPr>
            <w:tcW w:w="2304" w:type="dxa"/>
            <w:textDirection w:val="lrTb"/>
            <w:vAlign w:val="top"/>
          </w:tcPr>
          <w:p>
            <w:pPr>
              <w:pStyle w:val="40"/>
            </w:pPr>
            <w:r>
              <w:rPr>
                <w:rFonts w:hint="eastAsia"/>
                <w:lang w:val="en-US" w:eastAsia="zh-CN"/>
              </w:rPr>
              <w:t>陈嘉南</w:t>
            </w:r>
          </w:p>
        </w:tc>
      </w:tr>
    </w:tbl>
    <w:p/>
    <w:p>
      <w:pPr>
        <w:pStyle w:val="29"/>
      </w:pPr>
      <w:r>
        <w:br w:type="page"/>
      </w:r>
    </w:p>
    <w:p>
      <w:pPr>
        <w:pStyle w:val="21"/>
        <w:rPr>
          <w:rFonts w:hint="eastAsia" w:ascii="黑体" w:hAnsi="黑体" w:eastAsia="黑体" w:cs="黑体"/>
          <w:color w:val="3366FF"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color w:val="3366FF"/>
          <w:sz w:val="40"/>
          <w:szCs w:val="40"/>
          <w:lang w:val="en-US" w:eastAsia="zh-CN"/>
        </w:rPr>
        <w:t>目录</w:t>
      </w:r>
    </w:p>
    <w:p>
      <w:pPr>
        <w:pStyle w:val="21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_Toc31685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1</w:t>
      </w:r>
      <w:r>
        <w:rPr>
          <w:rFonts w:hint="eastAsia" w:ascii="Arial" w:hAnsi="Arial" w:eastAsia="宋体" w:cs="Times New Roman"/>
          <w:lang w:val="en-US" w:eastAsia="en-US" w:bidi="ar-SA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en-US" w:bidi="ar-SA"/>
        </w:rPr>
        <w:t>简介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_Toc31685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_Toc8418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1</w:t>
      </w:r>
      <w:r>
        <w:rPr>
          <w:rFonts w:hint="eastAsia" w:ascii="Arial" w:hAnsi="Arial" w:eastAsia="宋体" w:cs="Times New Roman"/>
          <w:lang w:val="en-US" w:eastAsia="en-US" w:bidi="ar-SA"/>
        </w:rPr>
        <w:t xml:space="preserve">.1 </w:t>
      </w:r>
      <w:r>
        <w:rPr>
          <w:rFonts w:hint="eastAsia" w:ascii="Times New Roman" w:hAnsi="Times New Roman" w:eastAsia="宋体" w:cs="Times New Roman"/>
          <w:lang w:val="en-US" w:eastAsia="en-US" w:bidi="ar-SA"/>
        </w:rPr>
        <w:t>目的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_Toc8418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_Toc8894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1</w:t>
      </w:r>
      <w:r>
        <w:rPr>
          <w:rFonts w:hint="eastAsia" w:ascii="Arial" w:hAnsi="Arial" w:eastAsia="宋体" w:cs="Times New Roman"/>
          <w:lang w:val="en-US" w:eastAsia="en-US" w:bidi="ar-SA"/>
        </w:rPr>
        <w:t xml:space="preserve">.2 </w:t>
      </w:r>
      <w:r>
        <w:rPr>
          <w:rFonts w:hint="eastAsia" w:ascii="Times New Roman" w:hAnsi="Times New Roman" w:eastAsia="宋体" w:cs="Times New Roman"/>
          <w:lang w:val="en-US" w:eastAsia="en-US" w:bidi="ar-SA"/>
        </w:rPr>
        <w:t>范围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_Toc8894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_Toc26620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1</w:t>
      </w:r>
      <w:r>
        <w:rPr>
          <w:rFonts w:hint="eastAsia" w:ascii="Arial" w:hAnsi="Arial" w:eastAsia="宋体" w:cs="Times New Roman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定义、首字母缩写词和缩略语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_Toc26620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_Toc7294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1</w:t>
      </w:r>
      <w:r>
        <w:rPr>
          <w:rFonts w:hint="eastAsia" w:ascii="Arial" w:hAnsi="Arial" w:eastAsia="宋体" w:cs="Times New Roman"/>
          <w:lang w:val="en-US" w:eastAsia="en-US" w:bidi="ar-SA"/>
        </w:rPr>
        <w:t xml:space="preserve">.4 </w:t>
      </w:r>
      <w:r>
        <w:rPr>
          <w:rFonts w:hint="eastAsia" w:ascii="Times New Roman" w:hAnsi="Times New Roman" w:eastAsia="宋体" w:cs="Times New Roman"/>
          <w:lang w:val="en-US" w:eastAsia="en-US" w:bidi="ar-SA"/>
        </w:rPr>
        <w:t>参考资料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_Toc7294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_Toc1078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1</w:t>
      </w:r>
      <w:r>
        <w:rPr>
          <w:rFonts w:hint="eastAsia" w:ascii="Arial" w:hAnsi="Arial" w:eastAsia="宋体" w:cs="Times New Roman"/>
          <w:lang w:val="en-US" w:eastAsia="en-US" w:bidi="ar-SA"/>
        </w:rPr>
        <w:t xml:space="preserve">.5 </w:t>
      </w:r>
      <w:r>
        <w:rPr>
          <w:rFonts w:hint="eastAsia" w:ascii="Times New Roman" w:hAnsi="Times New Roman" w:eastAsia="宋体" w:cs="Times New Roman"/>
          <w:lang w:val="en-US" w:eastAsia="en-US" w:bidi="ar-SA"/>
        </w:rPr>
        <w:t>概述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_Toc1078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_Toc18312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2</w:t>
      </w:r>
      <w:r>
        <w:rPr>
          <w:rFonts w:hint="eastAsia" w:ascii="Arial" w:hAnsi="Arial" w:eastAsia="宋体" w:cs="Times New Roman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测试用例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_Toc18312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_Toc12180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2</w:t>
      </w:r>
      <w:r>
        <w:rPr>
          <w:rFonts w:hint="eastAsia" w:ascii="Arial" w:hAnsi="Arial" w:eastAsia="宋体" w:cs="Times New Roman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功能测试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_Toc12180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3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Times New Roman" w:hAnsi="Times New Roman" w:eastAsia="宋体" w:cs="Times New Roman"/>
          <w:lang w:val="en-US" w:eastAsia="en-US" w:bidi="ar-SA"/>
        </w:rPr>
      </w:pP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HYPERLINK \l _Toc15639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2</w:t>
      </w:r>
      <w:r>
        <w:rPr>
          <w:rFonts w:hint="eastAsia" w:ascii="Arial" w:hAnsi="Arial" w:eastAsia="宋体" w:cs="Times New Roman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lang w:val="en-US" w:eastAsia="zh-CN" w:bidi="ar-SA"/>
        </w:rPr>
        <w:t>非功能测试</w:t>
      </w:r>
      <w:r>
        <w:rPr>
          <w:rFonts w:ascii="Times New Roman" w:hAnsi="Times New Roman" w:eastAsia="宋体" w:cs="Times New Roman"/>
          <w:lang w:val="en-US" w:eastAsia="en-US" w:bidi="ar-SA"/>
        </w:rPr>
        <w:tab/>
      </w:r>
      <w:r>
        <w:rPr>
          <w:rFonts w:ascii="Times New Roman" w:hAnsi="Times New Roman" w:eastAsia="宋体" w:cs="Times New Roman"/>
          <w:lang w:val="en-US" w:eastAsia="en-US" w:bidi="ar-SA"/>
        </w:rPr>
        <w:fldChar w:fldCharType="begin"/>
      </w:r>
      <w:r>
        <w:rPr>
          <w:rFonts w:ascii="Times New Roman" w:hAnsi="Times New Roman" w:eastAsia="宋体" w:cs="Times New Roman"/>
          <w:lang w:val="en-US" w:eastAsia="en-US" w:bidi="ar-SA"/>
        </w:rPr>
        <w:instrText xml:space="preserve"> PAGEREF _Toc15639 </w:instrTex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separate"/>
      </w:r>
      <w:r>
        <w:rPr>
          <w:rFonts w:ascii="Times New Roman" w:hAnsi="Times New Roman" w:eastAsia="宋体" w:cs="Times New Roman"/>
          <w:lang w:val="en-US" w:eastAsia="en-US" w:bidi="ar-SA"/>
        </w:rPr>
        <w:t>5</w:t>
      </w:r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  <w:r>
        <w:rPr>
          <w:rFonts w:hint="eastAsia" w:ascii="Arial" w:hAnsi="Arial" w:eastAsia="宋体" w:cs="Times New Roman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lang w:val="en-US" w:eastAsia="en-US" w:bidi="ar-SA"/>
        </w:rPr>
        <w:fldChar w:fldCharType="end"/>
      </w:r>
    </w:p>
    <w:p>
      <w:pPr>
        <w:pStyle w:val="29"/>
        <w:rPr>
          <w:lang w:eastAsia="zh-CN"/>
        </w:rPr>
      </w:pP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</w:pPr>
      <w:bookmarkStart w:id="0" w:name="_Toc498761760"/>
      <w:bookmarkStart w:id="1" w:name="_Toc393891156"/>
      <w:bookmarkStart w:id="2" w:name="_Toc31685"/>
      <w:bookmarkStart w:id="3" w:name="_Toc456598591"/>
      <w:bookmarkStart w:id="4" w:name="_Toc456600922"/>
      <w:r>
        <w:rPr>
          <w:rFonts w:hint="eastAsia"/>
        </w:rPr>
        <w:t>简介</w:t>
      </w:r>
      <w:bookmarkEnd w:id="0"/>
      <w:bookmarkEnd w:id="1"/>
      <w:bookmarkEnd w:id="2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本文档包含了对Zillionaire交叉测试用的测试样例。</w:t>
      </w:r>
    </w:p>
    <w:p>
      <w:pPr>
        <w:pStyle w:val="3"/>
      </w:pPr>
      <w:bookmarkStart w:id="5" w:name="_Toc498761761"/>
      <w:bookmarkStart w:id="6" w:name="_Toc393891157"/>
      <w:bookmarkStart w:id="7" w:name="_Toc8418"/>
      <w:r>
        <w:rPr>
          <w:rFonts w:hint="eastAsia"/>
        </w:rPr>
        <w:t>目的</w:t>
      </w:r>
      <w:bookmarkEnd w:id="5"/>
      <w:bookmarkEnd w:id="6"/>
      <w:bookmarkEnd w:id="7"/>
    </w:p>
    <w:p>
      <w:pPr>
        <w:pStyle w:val="14"/>
        <w:rPr>
          <w:rFonts w:hint="eastAsia" w:eastAsia="宋体"/>
          <w:lang w:val="en-US" w:eastAsia="zh-CN"/>
        </w:rPr>
      </w:pPr>
      <w:bookmarkStart w:id="8" w:name="_Toc498761762"/>
      <w:bookmarkStart w:id="9" w:name="_Toc393891158"/>
      <w:r>
        <w:rPr>
          <w:rFonts w:hint="eastAsia"/>
          <w:lang w:val="en-US" w:eastAsia="zh-CN"/>
        </w:rPr>
        <w:t>本文档包含了对Zillionaire交叉测试用的测试样例。</w:t>
      </w:r>
    </w:p>
    <w:p>
      <w:pPr>
        <w:pStyle w:val="3"/>
      </w:pPr>
      <w:bookmarkStart w:id="10" w:name="_Toc8894"/>
      <w:r>
        <w:rPr>
          <w:rFonts w:hint="eastAsia"/>
        </w:rPr>
        <w:t>范围</w:t>
      </w:r>
      <w:bookmarkEnd w:id="8"/>
      <w:bookmarkEnd w:id="9"/>
      <w:bookmarkEnd w:id="10"/>
    </w:p>
    <w:p>
      <w:pPr>
        <w:pStyle w:val="14"/>
        <w:rPr>
          <w:rFonts w:hint="eastAsia" w:eastAsia="宋体"/>
          <w:lang w:val="en-US" w:eastAsia="zh-CN"/>
        </w:rPr>
      </w:pPr>
      <w:bookmarkStart w:id="11" w:name="_Toc498761763"/>
      <w:bookmarkStart w:id="12" w:name="_Toc393891159"/>
      <w:r>
        <w:rPr>
          <w:rFonts w:hint="eastAsia"/>
          <w:lang w:val="en-US" w:eastAsia="zh-CN"/>
        </w:rPr>
        <w:t>Zillionaire大富翁游戏</w:t>
      </w:r>
    </w:p>
    <w:p>
      <w:pPr>
        <w:pStyle w:val="3"/>
        <w:rPr>
          <w:lang w:eastAsia="zh-CN"/>
        </w:rPr>
      </w:pPr>
      <w:bookmarkStart w:id="13" w:name="_Toc26620"/>
      <w:r>
        <w:rPr>
          <w:rFonts w:hint="eastAsia"/>
          <w:lang w:eastAsia="zh-CN"/>
        </w:rPr>
        <w:t>定义、首字母缩写词和缩略语</w:t>
      </w:r>
      <w:bookmarkEnd w:id="11"/>
      <w:bookmarkEnd w:id="12"/>
      <w:bookmarkEnd w:id="13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bookmarkStart w:id="14" w:name="_Toc498761764"/>
      <w:bookmarkStart w:id="15" w:name="_Toc393891160"/>
      <w:bookmarkStart w:id="16" w:name="_Toc7294"/>
      <w:r>
        <w:rPr>
          <w:rFonts w:hint="eastAsia"/>
        </w:rPr>
        <w:t>参考资料</w:t>
      </w:r>
      <w:bookmarkEnd w:id="14"/>
      <w:bookmarkEnd w:id="15"/>
      <w:bookmarkEnd w:id="16"/>
    </w:p>
    <w:p>
      <w:pPr>
        <w:pStyle w:val="14"/>
        <w:rPr>
          <w:lang w:val="en-US"/>
        </w:rPr>
      </w:pPr>
      <w:r>
        <w:rPr>
          <w:rFonts w:hint="eastAsia"/>
          <w:lang w:val="en-US" w:eastAsia="zh-CN"/>
        </w:rPr>
        <w:t>无</w:t>
      </w:r>
    </w:p>
    <w:bookmarkEnd w:id="3"/>
    <w:bookmarkEnd w:id="4"/>
    <w:p>
      <w:pPr>
        <w:pStyle w:val="3"/>
      </w:pPr>
      <w:bookmarkStart w:id="17" w:name="_Toc498761765"/>
      <w:bookmarkStart w:id="18" w:name="_Toc393891161"/>
      <w:bookmarkStart w:id="19" w:name="_Toc1078"/>
      <w:r>
        <w:rPr>
          <w:rFonts w:hint="eastAsia"/>
        </w:rPr>
        <w:t>概述</w:t>
      </w:r>
      <w:bookmarkEnd w:id="17"/>
      <w:bookmarkEnd w:id="18"/>
      <w:bookmarkEnd w:id="19"/>
    </w:p>
    <w:p>
      <w:pPr>
        <w:pStyle w:val="14"/>
        <w:rPr>
          <w:rFonts w:hint="eastAsia" w:eastAsia="宋体"/>
          <w:lang w:val="en-US" w:eastAsia="zh-CN"/>
        </w:rPr>
      </w:pPr>
      <w:bookmarkStart w:id="20" w:name="_Toc393891162"/>
      <w:r>
        <w:rPr>
          <w:rFonts w:hint="eastAsia"/>
          <w:lang w:val="en-US" w:eastAsia="zh-CN"/>
        </w:rPr>
        <w:t>本文档包含了对Zillionaire交叉测试用的测试样例。包括功能性需求的测试样例和非功能性需求的测试样例。</w:t>
      </w:r>
    </w:p>
    <w:p>
      <w:pPr>
        <w:pStyle w:val="2"/>
        <w:rPr>
          <w:lang w:eastAsia="zh-CN"/>
        </w:rPr>
      </w:pPr>
      <w:bookmarkStart w:id="21" w:name="_Toc18312"/>
      <w:r>
        <w:rPr>
          <w:rFonts w:hint="eastAsia"/>
          <w:lang w:eastAsia="zh-CN"/>
        </w:rPr>
        <w:t>测试用例</w:t>
      </w:r>
      <w:bookmarkEnd w:id="20"/>
      <w:bookmarkEnd w:id="21"/>
    </w:p>
    <w:p>
      <w:pPr>
        <w:pStyle w:val="3"/>
        <w:rPr>
          <w:lang w:eastAsia="zh-CN"/>
        </w:rPr>
      </w:pPr>
      <w:bookmarkStart w:id="22" w:name="_Toc393891163"/>
      <w:bookmarkStart w:id="23" w:name="_Toc12180"/>
      <w:r>
        <w:rPr>
          <w:rFonts w:hint="eastAsia"/>
          <w:lang w:eastAsia="zh-CN"/>
        </w:rPr>
        <w:t>功能测试</w:t>
      </w:r>
      <w:bookmarkEnd w:id="22"/>
      <w:bookmarkEnd w:id="23"/>
    </w:p>
    <w:p>
      <w:pPr>
        <w:rPr>
          <w:lang w:eastAsia="zh-CN"/>
        </w:rPr>
      </w:pPr>
    </w:p>
    <w:p>
      <w:pPr>
        <w:jc w:val="center"/>
        <w:rPr>
          <w:rFonts w:hint="eastAsia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>1 功能测试测试用例列表</w:t>
      </w:r>
    </w:p>
    <w:p>
      <w:pPr>
        <w:rPr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276"/>
        <w:gridCol w:w="1275"/>
        <w:gridCol w:w="411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功能点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玩家购买土地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玩家购买土地成功情况1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玩家成功购买土地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玩家升级土地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玩家升级土地成功情况1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进入游戏，开始游戏，掷骰子。购买了一块土地并且重新来到这块土地上。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玩家成功升级土地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玩家对经过自己土地的玩家征收过路费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玩家征收保护费成功情况1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进入游戏，开始游戏，掷骰子并购买一块土地成功。其他玩家掷骰子走到这块土地上。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玩家征收保护费成功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玩家买入股票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玩家买入股票成功情况1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进入游戏，开始游戏，掷骰子走完一圈后算一天。经过股票买卖点，买入股票。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买入股票成功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玩家卖出股票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玩家卖出股票成功情况1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进入游戏，开始游戏，掷骰子走完一圈后算一天。经过股票买卖点，卖出股票。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卖出股票成功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玩家购买彩票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玩家购买彩票成功情况1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进入游戏，开始游戏，经过彩票买卖点，购买彩票。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购买彩票成功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开奖后玩家中奖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开奖后玩家中奖情1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购买彩票成功后，开奖中奖。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开奖后玩家不中奖，奖金累加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开奖后玩家不中奖情况1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购买彩票成功后，开奖未中奖。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奖金累计到下一期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经过商店，购买道具。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使用道具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使用道具成功情况1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购买道具后使用道具（不同的道具有不同的功能，可以分解为多个测试用例）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使用道具成功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玩家购买土地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购买土地失败金钱不够情况1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进入游戏，开始游戏，掷骰子。走到一块购买所需费用大于手头资金数额的土地上，购买该土地。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购买土地失败；不允许购买土地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玩家升级土地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省级土地失败金钱不够情况1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成功购买土地后再次走到该土地上，但是身上的资金不足以升级土地。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升级土地失败；不允许升级土地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276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玩家对经过自己土地的玩家征收过路费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玩家征收保护费失败对方金钱不够情况1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玩家成功购买土地，另一玩家走在该土地上并且手头资金不足以支付过路费。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判定该玩家负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玩家买入股票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玩家买入股票失败金钱不够情况1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玩家路过股票点购买股票，虽然手头资金不够但是还是点击购买。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无法购买股票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玩家买入彩票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玩家买入彩票失败金钱不够情况1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玩家路过彩票店，虽然手头资金不够但是还是点击购买彩票。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无法购买彩票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掷骰子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掷骰子成功1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玩家进入游戏，掷骰子。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掷骰子显示1~6中的一个数字，控制玩家角色向前走该数字的格子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判负1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一个玩家以任意方式金钱为0.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该玩家判负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判负，玩家购买土地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玩家买入土地金钱变0情况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玩家开始游戏，购买土地所需金额和自己手头资金正好相等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成功购买土地，判负；不允许购买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判负，玩家升级土地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玩家升级土地金钱变0情况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玩家开始游戏，购买土地，再次踏上该块土地并且升级所需费用和手头资金正好相等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成功省级土地，判负；不允许升级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判负，玩家对经过自己土地的玩家征收过路费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玩家对经过自己土地的玩家征收过路费被征收过路费玩家金钱变0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进入游戏，开始游戏，掷骰子并购买一块土地成功。其他玩家掷骰子走到这块土地上。征收过路费的金额正好等于被征收过路费玩家手头的金额。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征收过路费成功，被征收过路费的玩家判负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判负，玩家购买股票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玩家购买股票金钱变0情况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玩家路过股票点购买股票，点击购买。购买之后金钱变0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购买股票成功，判负；不允许购买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判负，玩家购买彩票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玩家购买彩票金钱变0情况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玩家路过彩票店购买彩票，点击购买。购买之后金钱变0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购买彩票成功，判负；不允许购买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退出后判负情况1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双方玩家进入游戏，开始游戏之后非走棋玩家关闭客户端非正常退出游戏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退出后判负情况2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双方玩家进入游戏，开始游戏后同时关闭客户端非正常退出游戏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服务器正常工作，可以是任意一方判负或者双方都判负，或者不计分数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支持多人游戏情况1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一个人登陆客户端，开始游戏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服务器正常运行，不开始游戏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支持多人游戏情况2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一个人登陆客户端，开始游戏；另一个人同时登陆客户端，开始游戏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服务器正常运行，开始游戏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支持多人游戏情况3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一个人登陆客户端，开始游戏；另一个人过了5分钟登陆客户端，开始游戏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服务器正常运行，开始游戏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支持多人游戏情况4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一个人登陆客户端，退出；两一个人登陆客户端，开始游戏；一个人再次登陆客户端，开始游戏；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服务器正常运行，开始游戏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支持多人游戏情况5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一个人登陆客户端，开始游戏；另一个人登陆客户端，开始游戏；第三个人登陆客户端，开始游戏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服务器正常运行，前面两个人进入游戏，第三人不进入游戏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支持多人游戏情况6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一个人登陆客户端，开始游戏；另一个人登陆客户端，退出；第三个人登陆客户端；第四个人登陆客户端；第四个人开始游戏；第三个人开始游戏。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服务器正常运行，第一个人和第四个人进入游戏，第三个人不进入游戏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支持游戏大厅情况1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一个人登陆客户端，进入游戏大厅，选择桌子的一个座位；另一个人登陆客户端，进入游戏大厅，选择同一个桌子的另一个座位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支持游戏大厅情况2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一个人登陆客户端，进入游戏大厅；另一个人登陆客户端，进入游戏大厅；一个人选择桌子的一个座位，另一个人选择桌子的同一个座位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第二个人不能选择该座位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支持游戏大厅情况3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一个人登陆客户端，进入游戏大厅，选择桌子的一个座位；另一个人登陆客户端，进入游戏大厅，选择另一个桌子的座位；然后第一个人选择第二个人选择的桌子的另一个座位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选择作为成功，但是一开始不进入游戏；第一个人更换桌子后开始游戏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支持游戏大厅情况4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进入游戏大厅；另一个人登陆客户端，进入游戏大厅；第三个人登陆客户端，进入游戏大厅；第一个人选择桌子座位，第三个人选择另一个桌子的座位，第二个人玄子与第一个人同一个桌子的另一个座位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第一个人和第二个人进入游戏，第三个人不进入游戏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实现游戏音乐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实现游戏音乐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开始游戏，打开扬声器听音乐。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听到音乐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退出后判负情况3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双方玩家进入游戏，开始游戏之后走棋玩家关闭客户端非正常退出游戏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玩家购买土地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玩家购买土地取消情况1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进入游戏，开始游戏，掷骰子。走到一块无主土地上，但是不购买土地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玩家不购买土地，土地呈现无主状态并且玩家资金不变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玩家买卖股票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玩家卖出股票之后买入股票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进入游戏，开始游戏，掷骰子走完一圈后算一天。经过股票买卖点，卖出股票，买入股票，卖出买入股票，买入卖出的股票。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卖出、买入股票成功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判负2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玩家以任意方式体力值减为0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购买道具，判负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购买道具金钱不足失败情况1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进入商店，选择道具的金额大于自己身上的金额。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购买道具失败；判负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购买道具，判负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购买道具金钱正好情况1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进入商店，选择道具的金额等于自己身上的金额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购买道具成功，判负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玩家升级土地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玩家升级土地取消情况1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进入游戏，开始游戏，掷骰子。购买了一块土地，再次走到该土地上，不选择升级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玩家不升级土地，土地呈现原先状态并且玩家资金不变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玩家卖出股票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玩家卖出股票情况2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玩家进入股票交易所，选择持有数为0 的股票选择卖出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股票数量不表；玩家资金不变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表中各项内容说明如下</w:t>
      </w:r>
      <w:r>
        <w:rPr>
          <w:rFonts w:hint="eastAsia"/>
          <w:lang w:eastAsia="zh-CN"/>
        </w:rPr>
        <w:t>：</w:t>
      </w: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[为每个测试用例分配一个唯一的编号。例如: tc-</w:t>
      </w:r>
      <w:r>
        <w:rPr>
          <w:lang w:eastAsia="zh-CN"/>
        </w:rPr>
        <w:t>001</w:t>
      </w:r>
      <w:r>
        <w:rPr>
          <w:rFonts w:hint="eastAsia"/>
          <w:lang w:eastAsia="zh-CN"/>
        </w:rPr>
        <w:t>]</w:t>
      </w:r>
    </w:p>
    <w:p>
      <w:pPr>
        <w:pStyle w:val="48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功能点</w:t>
      </w:r>
    </w:p>
    <w:p>
      <w:pPr>
        <w:pStyle w:val="47"/>
        <w:rPr>
          <w:lang w:eastAsia="zh-CN"/>
        </w:rPr>
      </w:pPr>
      <w:r>
        <w:rPr>
          <w:rFonts w:hint="eastAsia"/>
          <w:lang w:eastAsia="zh-CN"/>
        </w:rPr>
        <w:t>[通常对应于软件需求规约中的相关功能点。]</w:t>
      </w:r>
    </w:p>
    <w:p>
      <w:pPr>
        <w:pStyle w:val="48"/>
        <w:ind w:left="360" w:firstLine="0" w:firstLineChars="0"/>
        <w:rPr>
          <w:rFonts w:hint="eastAsia"/>
          <w:lang w:eastAsia="zh-CN"/>
        </w:rPr>
      </w:pP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描述本测试用例所测试内容</w:t>
      </w:r>
      <w:r>
        <w:rPr>
          <w:rFonts w:hint="eastAsia"/>
          <w:lang w:eastAsia="zh-CN"/>
        </w:rPr>
        <w:t>。]</w:t>
      </w: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前置条件与测试步骤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[描述需要满足何种条件本项测试才能进行(可选项)以及进行测试的详细步骤。]</w:t>
      </w: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预期结果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[描述在该项测试之后期望观察到的结果。]</w:t>
      </w:r>
    </w:p>
    <w:p>
      <w:pPr>
        <w:pStyle w:val="14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bookmarkStart w:id="24" w:name="_Toc393891164"/>
      <w:bookmarkStart w:id="25" w:name="_Toc15639"/>
      <w:r>
        <w:rPr>
          <w:rFonts w:hint="eastAsia"/>
          <w:lang w:eastAsia="zh-CN"/>
        </w:rPr>
        <w:t>非功能测试</w:t>
      </w:r>
      <w:bookmarkEnd w:id="24"/>
      <w:bookmarkEnd w:id="25"/>
    </w:p>
    <w:p>
      <w:pPr>
        <w:rPr>
          <w:lang w:eastAsia="zh-CN"/>
        </w:rPr>
      </w:pPr>
    </w:p>
    <w:p>
      <w:pPr>
        <w:jc w:val="center"/>
        <w:rPr>
          <w:rFonts w:hint="eastAsia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>2 非功能测试测试用例列表</w:t>
      </w:r>
    </w:p>
    <w:p>
      <w:pPr>
        <w:rPr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134"/>
        <w:gridCol w:w="1417"/>
        <w:gridCol w:w="411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eastAsia="zh-CN"/>
              </w:rPr>
              <w:t>骤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并行数至少是100人同时在线情况1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同时进行100人的游戏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所有游戏正常运行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并行数至少是100人同时在线情况2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同时进行102人的游戏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所有游戏正常运行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并行数至少是100人同时在线情况3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同时进行10000人的游戏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所有游戏正常运行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支持多人游戏情况1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一个人登陆客户端，开始游戏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服务器正常运行，不开始游戏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进入游戏响应时间不超过10s1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进入游戏大厅，选择桌子座位，开始计时。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10s内进入游戏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进入游戏响应时间不超过10s2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49局游戏已经开始；两个人选择第50桌开始游戏。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10s内进入游戏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进入游戏响应时间不超过10s3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499局游戏已经开始；两个人选择第500桌开始游戏。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10s内进入游戏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10次运行最多一次故障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按照测试者心情开始游戏，玩游戏，计算MGTF（Mean Game To Failure）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MGTF&gt;</w:t>
            </w:r>
            <w:bookmarkStart w:id="26" w:name="_GoBack"/>
            <w:bookmarkEnd w:id="26"/>
            <w:r>
              <w:rPr>
                <w:rFonts w:hint="eastAsia"/>
                <w:lang w:val="en-US" w:eastAsia="zh-CN"/>
              </w:rPr>
              <w:t>=10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表中各项内容说明如下</w:t>
      </w:r>
      <w:r>
        <w:rPr>
          <w:rFonts w:hint="eastAsia"/>
          <w:lang w:eastAsia="zh-CN"/>
        </w:rPr>
        <w:t>：</w:t>
      </w:r>
    </w:p>
    <w:p>
      <w:pPr>
        <w:pStyle w:val="4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[为每个测试用例分配一个唯一的编号。例如: tc-</w:t>
      </w:r>
      <w:r>
        <w:rPr>
          <w:lang w:eastAsia="zh-CN"/>
        </w:rPr>
        <w:t>001</w:t>
      </w:r>
      <w:r>
        <w:rPr>
          <w:rFonts w:hint="eastAsia"/>
          <w:lang w:eastAsia="zh-CN"/>
        </w:rPr>
        <w:t>]</w:t>
      </w:r>
    </w:p>
    <w:p>
      <w:pPr>
        <w:pStyle w:val="48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测试项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[描述所测试的非功能项哪方面内容，例如：性能、易用性、可靠性、安全性、兼容性等。]</w:t>
      </w:r>
    </w:p>
    <w:p>
      <w:pPr>
        <w:pStyle w:val="4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描述本测试用例所测试内容</w:t>
      </w:r>
      <w:r>
        <w:rPr>
          <w:rFonts w:hint="eastAsia"/>
          <w:lang w:eastAsia="zh-CN"/>
        </w:rPr>
        <w:t>。]</w:t>
      </w:r>
    </w:p>
    <w:p>
      <w:pPr>
        <w:pStyle w:val="4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前置条件与测试步骤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[描述需要满足何种条件本项测试才能进行(可选项)以及进行测试的详细步骤。]</w:t>
      </w:r>
    </w:p>
    <w:p>
      <w:pPr>
        <w:pStyle w:val="4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预期结果</w:t>
      </w:r>
    </w:p>
    <w:p>
      <w:pPr>
        <w:pStyle w:val="47"/>
        <w:rPr>
          <w:rFonts w:hint="eastAsia"/>
          <w:lang w:eastAsia="zh-CN"/>
        </w:rPr>
      </w:pPr>
      <w:r>
        <w:rPr>
          <w:rFonts w:hint="eastAsia"/>
          <w:lang w:eastAsia="zh-CN"/>
        </w:rPr>
        <w:t>[描述在该项测试之后期望观察到的结果。]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4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6379" w:type="dxa"/>
          <w:vAlign w:val="top"/>
        </w:tcPr>
        <w:p>
          <w:r>
            <w:rPr>
              <w:rFonts w:hint="eastAsia"/>
            </w:rPr>
            <w:t>Zillionaire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</w:t>
          </w:r>
          <w:r>
            <w:rPr>
              <w:rFonts w:hint="eastAsia"/>
              <w:lang w:val="en-US" w:eastAsia="zh-CN"/>
            </w:rPr>
            <w:t>4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</w:t>
          </w:r>
          <w:r>
            <w:rPr>
              <w:rFonts w:hint="eastAsia"/>
              <w:lang w:val="en-US" w:eastAsia="zh-CN"/>
            </w:rPr>
            <w:t>5</w:t>
          </w:r>
          <w:r>
            <w:t>/</w:t>
          </w:r>
          <w:r>
            <w:rPr>
              <w:rFonts w:hint="eastAsia"/>
              <w:lang w:val="en-US" w:eastAsia="zh-CN"/>
            </w:rPr>
            <w:t>AUG</w:t>
          </w:r>
          <w:r>
            <w:t>/</w:t>
          </w:r>
          <w:r>
            <w:rPr>
              <w:rFonts w:hint="eastAsia"/>
              <w:lang w:val="en-US" w:eastAsia="zh-CN"/>
            </w:rPr>
            <w:t>2015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466392608">
    <w:nsid w:val="57676020"/>
    <w:multiLevelType w:val="multilevel"/>
    <w:tmpl w:val="57676020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4872052">
    <w:nsid w:val="3E477B74"/>
    <w:multiLevelType w:val="multilevel"/>
    <w:tmpl w:val="3E477B74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670669818">
    <w:nsid w:val="639465FA"/>
    <w:multiLevelType w:val="multilevel"/>
    <w:tmpl w:val="639465F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94967291"/>
  </w:num>
  <w:num w:numId="2">
    <w:abstractNumId w:val="1044872052"/>
  </w:num>
  <w:num w:numId="3">
    <w:abstractNumId w:val="1670669818"/>
  </w:num>
  <w:num w:numId="4">
    <w:abstractNumId w:val="14663926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1029"/>
    <w:rsid w:val="001B0401"/>
    <w:rsid w:val="002A1D1F"/>
    <w:rsid w:val="002B2D7B"/>
    <w:rsid w:val="0032567A"/>
    <w:rsid w:val="00342E2E"/>
    <w:rsid w:val="0037181D"/>
    <w:rsid w:val="00382609"/>
    <w:rsid w:val="003B2F51"/>
    <w:rsid w:val="003F6E81"/>
    <w:rsid w:val="00421492"/>
    <w:rsid w:val="004F3649"/>
    <w:rsid w:val="00515FCF"/>
    <w:rsid w:val="0059232E"/>
    <w:rsid w:val="005C3BA4"/>
    <w:rsid w:val="00762F4E"/>
    <w:rsid w:val="007D62E1"/>
    <w:rsid w:val="007F0F6E"/>
    <w:rsid w:val="00850C93"/>
    <w:rsid w:val="00871427"/>
    <w:rsid w:val="00931251"/>
    <w:rsid w:val="00991E80"/>
    <w:rsid w:val="00A4683D"/>
    <w:rsid w:val="00A76958"/>
    <w:rsid w:val="00AF1201"/>
    <w:rsid w:val="00B55FA5"/>
    <w:rsid w:val="00B64610"/>
    <w:rsid w:val="00C75A10"/>
    <w:rsid w:val="00C979D6"/>
    <w:rsid w:val="00CA0CE8"/>
    <w:rsid w:val="00E2168C"/>
    <w:rsid w:val="00F449B6"/>
    <w:rsid w:val="00F82265"/>
    <w:rsid w:val="00FA3AC0"/>
    <w:rsid w:val="01FA01CD"/>
    <w:rsid w:val="05451EB3"/>
    <w:rsid w:val="064707DC"/>
    <w:rsid w:val="06B3590D"/>
    <w:rsid w:val="07087596"/>
    <w:rsid w:val="087C4EF9"/>
    <w:rsid w:val="0A6D56A9"/>
    <w:rsid w:val="0A9572CD"/>
    <w:rsid w:val="0CA17BC7"/>
    <w:rsid w:val="126A5144"/>
    <w:rsid w:val="18D966D2"/>
    <w:rsid w:val="1BE76355"/>
    <w:rsid w:val="1F566F76"/>
    <w:rsid w:val="221C4286"/>
    <w:rsid w:val="232337B4"/>
    <w:rsid w:val="260E417C"/>
    <w:rsid w:val="28343B01"/>
    <w:rsid w:val="295D22E9"/>
    <w:rsid w:val="2AD67958"/>
    <w:rsid w:val="2C9F6F43"/>
    <w:rsid w:val="31D574D0"/>
    <w:rsid w:val="356154A3"/>
    <w:rsid w:val="3B617677"/>
    <w:rsid w:val="3BF45CEC"/>
    <w:rsid w:val="40726ACA"/>
    <w:rsid w:val="44702386"/>
    <w:rsid w:val="4E4A17FE"/>
    <w:rsid w:val="55B22FA5"/>
    <w:rsid w:val="56750AE4"/>
    <w:rsid w:val="5941447A"/>
    <w:rsid w:val="61EA78B2"/>
    <w:rsid w:val="629D09DA"/>
    <w:rsid w:val="6489147F"/>
    <w:rsid w:val="75B15BA4"/>
    <w:rsid w:val="782643AF"/>
    <w:rsid w:val="797771D4"/>
    <w:rsid w:val="7E9D2D4A"/>
    <w:rsid w:val="7FFD038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2520" w:leftChars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1680" w:leftChars="800"/>
    </w:pPr>
  </w:style>
  <w:style w:type="paragraph" w:styleId="17">
    <w:name w:val="toc 3"/>
    <w:basedOn w:val="1"/>
    <w:next w:val="1"/>
    <w:semiHidden/>
    <w:uiPriority w:val="0"/>
    <w:pPr>
      <w:ind w:left="840" w:leftChars="400"/>
    </w:pPr>
  </w:style>
  <w:style w:type="paragraph" w:styleId="18">
    <w:name w:val="toc 8"/>
    <w:basedOn w:val="1"/>
    <w:next w:val="1"/>
    <w:semiHidden/>
    <w:uiPriority w:val="0"/>
    <w:pPr>
      <w:ind w:left="2940" w:leftChars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</w:style>
  <w:style w:type="paragraph" w:styleId="22">
    <w:name w:val="toc 4"/>
    <w:basedOn w:val="1"/>
    <w:next w:val="1"/>
    <w:semiHidden/>
    <w:uiPriority w:val="0"/>
    <w:pPr>
      <w:ind w:left="1260" w:leftChars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2100" w:leftChars="1000"/>
    </w:pPr>
  </w:style>
  <w:style w:type="paragraph" w:styleId="26">
    <w:name w:val="toc 2"/>
    <w:basedOn w:val="1"/>
    <w:next w:val="1"/>
    <w:uiPriority w:val="39"/>
    <w:pPr>
      <w:ind w:left="420" w:leftChars="200"/>
    </w:pPr>
  </w:style>
  <w:style w:type="paragraph" w:styleId="27">
    <w:name w:val="toc 9"/>
    <w:basedOn w:val="1"/>
    <w:next w:val="1"/>
    <w:semiHidden/>
    <w:uiPriority w:val="0"/>
    <w:pPr>
      <w:ind w:left="3360" w:leftChars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9"/>
    <w:uiPriority w:val="0"/>
    <w:pPr>
      <w:spacing w:after="120"/>
      <w:ind w:left="720"/>
    </w:pPr>
    <w:rPr>
      <w:i/>
      <w:color w:val="0000FF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298</Words>
  <Characters>1701</Characters>
  <Lines>14</Lines>
  <Paragraphs>3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2014-07-17T11:46:00Z</dcterms:created>
  <dc:creator>Haibo Yu</dc:creator>
  <cp:lastModifiedBy>Jianan</cp:lastModifiedBy>
  <cp:lastPrinted>2411-12-31T16:00:00Z</cp:lastPrinted>
  <dcterms:modified xsi:type="dcterms:W3CDTF">2015-08-14T11:44:29Z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