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3788"/>
        <w:gridCol w:w="2006"/>
        <w:gridCol w:w="2158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289" w:type="pct"/>
            <w:vAlign w:val="center"/>
          </w:tcPr>
          <w:p>
            <w:pPr>
              <w:spacing w:line="280" w:lineRule="exact"/>
              <w:jc w:val="center"/>
              <w:rPr>
                <w:rFonts w:hint="eastAsia" w:eastAsia="仿宋_GB2312"/>
              </w:rPr>
            </w:pPr>
            <w:r>
              <w:rPr>
                <w:rFonts w:hint="eastAsia" w:eastAsia="仿宋_GB2312"/>
              </w:rPr>
              <w:t>序号</w:t>
            </w:r>
          </w:p>
        </w:tc>
        <w:tc>
          <w:tcPr>
            <w:tcW w:w="1924" w:type="pct"/>
            <w:vAlign w:val="center"/>
          </w:tcPr>
          <w:p>
            <w:pPr>
              <w:spacing w:line="300" w:lineRule="exact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标准</w:t>
            </w:r>
            <w:r>
              <w:rPr>
                <w:rFonts w:hint="eastAsia" w:eastAsia="仿宋_GB2312"/>
                <w:lang w:val="en-US" w:eastAsia="zh-CN"/>
              </w:rPr>
              <w:t>名称</w:t>
            </w:r>
          </w:p>
        </w:tc>
        <w:tc>
          <w:tcPr>
            <w:tcW w:w="1019" w:type="pct"/>
            <w:vAlign w:val="center"/>
          </w:tcPr>
          <w:p>
            <w:pPr>
              <w:spacing w:line="300" w:lineRule="exact"/>
              <w:jc w:val="center"/>
              <w:rPr>
                <w:rFonts w:hint="eastAsia" w:eastAsia="仿宋_GB2312"/>
              </w:rPr>
            </w:pPr>
            <w:r>
              <w:rPr>
                <w:rFonts w:hint="eastAsia" w:eastAsia="仿宋_GB2312"/>
              </w:rPr>
              <w:t>标准号</w:t>
            </w:r>
          </w:p>
        </w:tc>
        <w:tc>
          <w:tcPr>
            <w:tcW w:w="1096" w:type="pct"/>
            <w:vAlign w:val="center"/>
          </w:tcPr>
          <w:p>
            <w:pPr>
              <w:spacing w:line="300" w:lineRule="exact"/>
              <w:jc w:val="center"/>
              <w:rPr>
                <w:rFonts w:hint="eastAsia" w:eastAsia="仿宋_GB2312"/>
              </w:rPr>
            </w:pPr>
            <w:r>
              <w:rPr>
                <w:rFonts w:hint="eastAsia" w:eastAsia="仿宋_GB2312"/>
              </w:rPr>
              <w:t>发布单位</w:t>
            </w:r>
          </w:p>
        </w:tc>
        <w:tc>
          <w:tcPr>
            <w:tcW w:w="670" w:type="pct"/>
            <w:vAlign w:val="center"/>
          </w:tcPr>
          <w:p>
            <w:pPr>
              <w:spacing w:line="300" w:lineRule="exact"/>
              <w:jc w:val="center"/>
              <w:rPr>
                <w:rFonts w:hint="eastAsia" w:eastAsia="仿宋_GB2312"/>
              </w:rPr>
            </w:pPr>
            <w:r>
              <w:rPr>
                <w:rFonts w:hint="eastAsia" w:eastAsia="仿宋_GB2312"/>
              </w:rPr>
              <w:t>实施日期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24" w:type="pct"/>
            <w:vAlign w:val="center"/>
          </w:tcPr>
          <w:p>
            <w:pPr>
              <w:rPr>
                <w:rFonts w:ascii="宋体" w:hAnsi="宋体"/>
                <w:szCs w:val="28"/>
              </w:rPr>
            </w:pPr>
            <w:r>
              <w:rPr>
                <w:rFonts w:hint="eastAsia" w:hAnsi="宋体"/>
              </w:rPr>
              <w:t>水轮机、蓄能泵和水泵水轮机流量的测量 超声传播时间法</w:t>
            </w:r>
          </w:p>
        </w:tc>
        <w:tc>
          <w:tcPr>
            <w:tcW w:w="1019" w:type="pct"/>
            <w:vAlign w:val="center"/>
          </w:tcPr>
          <w:p>
            <w:pPr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GB/Z 35717-2017</w:t>
            </w:r>
          </w:p>
        </w:tc>
        <w:tc>
          <w:tcPr>
            <w:tcW w:w="1096" w:type="pct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民航局</w:t>
            </w:r>
          </w:p>
        </w:tc>
        <w:tc>
          <w:tcPr>
            <w:tcW w:w="670" w:type="pct"/>
            <w:vAlign w:val="center"/>
          </w:tcPr>
          <w:p>
            <w:pPr>
              <w:spacing w:line="300" w:lineRule="exact"/>
            </w:pPr>
            <w:r>
              <w:rPr>
                <w:rFonts w:hint="eastAsia"/>
              </w:rPr>
              <w:t>2017-12-29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24" w:type="pct"/>
            <w:vAlign w:val="center"/>
          </w:tcPr>
          <w:p>
            <w:pPr>
              <w:rPr>
                <w:rFonts w:ascii="宋体" w:hAnsi="宋体"/>
                <w:szCs w:val="28"/>
              </w:rPr>
            </w:pPr>
            <w:r>
              <w:rPr>
                <w:rFonts w:hAnsi="宋体"/>
              </w:rPr>
              <w:t>《民用航空油料设备完好技术规范》</w:t>
            </w:r>
          </w:p>
        </w:tc>
        <w:tc>
          <w:tcPr>
            <w:tcW w:w="1019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t>MH/T6002-2008</w:t>
            </w:r>
          </w:p>
        </w:tc>
        <w:tc>
          <w:tcPr>
            <w:tcW w:w="1096" w:type="pct"/>
            <w:vAlign w:val="center"/>
          </w:tcPr>
          <w:p>
            <w:pPr>
              <w:spacing w:line="300" w:lineRule="atLeast"/>
              <w:jc w:val="center"/>
            </w:pPr>
            <w:r>
              <w:rPr>
                <w:rFonts w:hint="eastAsia"/>
              </w:rPr>
              <w:t>民航局</w:t>
            </w:r>
          </w:p>
        </w:tc>
        <w:tc>
          <w:tcPr>
            <w:tcW w:w="670" w:type="pct"/>
            <w:vAlign w:val="center"/>
          </w:tcPr>
          <w:p>
            <w:pPr>
              <w:spacing w:line="300" w:lineRule="atLeast"/>
            </w:pPr>
            <w:r>
              <w:rPr>
                <w:rFonts w:hint="eastAsia"/>
              </w:rPr>
              <w:t>2009.2.1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24" w:type="pct"/>
            <w:vAlign w:val="center"/>
          </w:tcPr>
          <w:p>
            <w:pPr>
              <w:rPr>
                <w:rFonts w:ascii="宋体" w:hAnsi="宋体"/>
                <w:szCs w:val="28"/>
              </w:rPr>
            </w:pPr>
            <w:r>
              <w:rPr>
                <w:rFonts w:hAnsi="宋体"/>
              </w:rPr>
              <w:t>《民用航空燃料设施设备浸润冲洗》</w:t>
            </w:r>
          </w:p>
        </w:tc>
        <w:tc>
          <w:tcPr>
            <w:tcW w:w="1019" w:type="pct"/>
            <w:vAlign w:val="center"/>
          </w:tcPr>
          <w:p>
            <w:pPr>
              <w:rPr>
                <w:rFonts w:ascii="宋体" w:hAnsi="宋体"/>
                <w:szCs w:val="28"/>
              </w:rPr>
            </w:pPr>
            <w:r>
              <w:t>MH/T6076-201</w:t>
            </w:r>
            <w:r>
              <w:rPr>
                <w:rFonts w:hint="eastAsia"/>
              </w:rPr>
              <w:t>7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民航局</w:t>
            </w:r>
          </w:p>
        </w:tc>
        <w:tc>
          <w:tcPr>
            <w:tcW w:w="670" w:type="pct"/>
            <w:vAlign w:val="center"/>
          </w:tcPr>
          <w:p>
            <w:r>
              <w:rPr>
                <w:rFonts w:hint="eastAsia"/>
              </w:rPr>
              <w:t>2017.12.16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《石油库设计规范》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GB50074-2014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住建部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2015.05.01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《3号喷气燃料》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GB6357-2018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国家质量监督检验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.0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《高压化肥设备用无缝钢管》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GB6479-2013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国家质量监督检验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2014.07.01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《压力管道规范 工业管道第1～6部分》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GB/T20801.1～6-2006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国家质量监督检验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2007.06.01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《储油库大气污染物排放标准》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GB20950-2007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国家环境保护总局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2007.08.01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《建筑地基基础设计规范》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GB50007-2011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2012.08.01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《建筑结构荷载规范》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GB50009-2012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2012.10.01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hint="eastAsia" w:ascii="宋体" w:hAnsi="宋体"/>
                <w:szCs w:val="28"/>
              </w:rPr>
            </w:pPr>
            <w:r>
              <w:rPr>
                <w:szCs w:val="21"/>
              </w:rPr>
              <w:t>《混凝土结构设计规范》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hint="eastAsia" w:ascii="宋体" w:hAnsi="宋体"/>
                <w:szCs w:val="28"/>
              </w:rPr>
            </w:pPr>
            <w:r>
              <w:rPr>
                <w:szCs w:val="21"/>
              </w:rPr>
              <w:t>GB50010-2010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2011.07.01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《建筑抗震设计规范》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GB50011-2010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2010.12.01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《室外给水设计规范》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GB50013-2006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2006.06.01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《室外排水设计规范》（2014年版）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GB50014-2006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2006.06.01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《建筑给排水设计规范》（2009年版）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GB50015-2003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2010.04.01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hint="eastAsia" w:ascii="宋体" w:hAnsi="宋体"/>
                <w:szCs w:val="28"/>
              </w:rPr>
            </w:pPr>
            <w:r>
              <w:rPr>
                <w:szCs w:val="21"/>
              </w:rPr>
              <w:t>《爆炸和火灾危险环境电力装置设计规范》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hint="eastAsia" w:ascii="宋体" w:hAnsi="宋体"/>
                <w:szCs w:val="28"/>
              </w:rPr>
            </w:pPr>
            <w:r>
              <w:rPr>
                <w:szCs w:val="21"/>
              </w:rPr>
              <w:t>GB50058-2014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2014.10.01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《建筑灭火器配置设计规范》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GB50140-2005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2005.10.01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《泡沫灭火系统设计规范》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GB50151-2010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2011.06.01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《公共建筑节能设计标准》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GB50189-2005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2015.10.01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hint="eastAsia"/>
                <w:szCs w:val="28"/>
              </w:rPr>
            </w:pPr>
            <w:r>
              <w:rPr>
                <w:szCs w:val="21"/>
              </w:rPr>
              <w:t>《构筑物抗震设计规范》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szCs w:val="21"/>
              </w:rPr>
              <w:t>GB50191-2012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2012.10.01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hint="eastAsia"/>
                <w:szCs w:val="28"/>
              </w:rPr>
            </w:pPr>
            <w:r>
              <w:rPr>
                <w:szCs w:val="21"/>
              </w:rPr>
              <w:t>《电力工程电缆设计规范》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GB 50217-2018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2018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hint="eastAsia"/>
                <w:szCs w:val="28"/>
              </w:rPr>
            </w:pPr>
            <w:r>
              <w:rPr>
                <w:szCs w:val="21"/>
              </w:rPr>
              <w:t>《建筑工程抗震设防分类标准》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szCs w:val="21"/>
              </w:rPr>
              <w:t>GB50223-2008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2008.08.30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89" w:type="pct"/>
          </w:tcPr>
          <w:p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24" w:type="pct"/>
            <w:vAlign w:val="center"/>
          </w:tcPr>
          <w:p>
            <w:pPr>
              <w:jc w:val="left"/>
              <w:rPr>
                <w:rFonts w:hint="eastAsia"/>
                <w:szCs w:val="28"/>
              </w:rPr>
            </w:pPr>
            <w:r>
              <w:rPr>
                <w:szCs w:val="21"/>
              </w:rPr>
              <w:t>《石油库节能导则》</w:t>
            </w:r>
          </w:p>
        </w:tc>
        <w:tc>
          <w:tcPr>
            <w:tcW w:w="1019" w:type="pct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szCs w:val="21"/>
              </w:rPr>
              <w:t>SH/T3002-2000</w:t>
            </w:r>
          </w:p>
        </w:tc>
        <w:tc>
          <w:tcPr>
            <w:tcW w:w="1096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国家石油和化学工业局</w:t>
            </w:r>
          </w:p>
        </w:tc>
        <w:tc>
          <w:tcPr>
            <w:tcW w:w="670" w:type="pct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2001.03.01</w:t>
            </w:r>
          </w:p>
        </w:tc>
      </w:tr>
    </w:tbl>
    <w:p>
      <w:pPr>
        <w:spacing w:line="360" w:lineRule="auto"/>
        <w:rPr>
          <w:rFonts w:hint="eastAsia"/>
          <w:sz w:val="28"/>
          <w:szCs w:val="28"/>
        </w:rPr>
      </w:pPr>
    </w:p>
    <w:sectPr>
      <w:pgSz w:w="11906" w:h="16838"/>
      <w:pgMar w:top="1077" w:right="1134" w:bottom="90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6064"/>
    <w:rsid w:val="002332EA"/>
    <w:rsid w:val="0031163B"/>
    <w:rsid w:val="006B63A8"/>
    <w:rsid w:val="0081524E"/>
    <w:rsid w:val="00AA55E1"/>
    <w:rsid w:val="00C774B0"/>
    <w:rsid w:val="00CF2DD6"/>
    <w:rsid w:val="00D96CA3"/>
    <w:rsid w:val="00ED48F3"/>
    <w:rsid w:val="00FF0056"/>
    <w:rsid w:val="01482C87"/>
    <w:rsid w:val="03500E66"/>
    <w:rsid w:val="1054285A"/>
    <w:rsid w:val="12951D66"/>
    <w:rsid w:val="134068EA"/>
    <w:rsid w:val="18576993"/>
    <w:rsid w:val="192353B2"/>
    <w:rsid w:val="2EED6E64"/>
    <w:rsid w:val="3038024D"/>
    <w:rsid w:val="379C29AA"/>
    <w:rsid w:val="3C441C4D"/>
    <w:rsid w:val="3C8F1234"/>
    <w:rsid w:val="4833118F"/>
    <w:rsid w:val="4BA3702A"/>
    <w:rsid w:val="501F5C41"/>
    <w:rsid w:val="5EF64273"/>
    <w:rsid w:val="63D957F0"/>
    <w:rsid w:val="66E76909"/>
    <w:rsid w:val="67EF4B78"/>
    <w:rsid w:val="71D81B3A"/>
    <w:rsid w:val="74C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3"/>
    <w:uiPriority w:val="0"/>
    <w:rPr>
      <w:kern w:val="2"/>
      <w:sz w:val="18"/>
      <w:szCs w:val="18"/>
    </w:rPr>
  </w:style>
  <w:style w:type="character" w:customStyle="1" w:styleId="10">
    <w:name w:val="sh141"/>
    <w:qFormat/>
    <w:uiPriority w:val="0"/>
    <w:rPr>
      <w:color w:val="2B2B2B"/>
      <w:sz w:val="21"/>
      <w:szCs w:val="21"/>
    </w:rPr>
  </w:style>
  <w:style w:type="character" w:customStyle="1" w:styleId="11">
    <w:name w:val="批注框文本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992</Characters>
  <Lines>8</Lines>
  <Paragraphs>2</Paragraphs>
  <TotalTime>9</TotalTime>
  <ScaleCrop>false</ScaleCrop>
  <LinksUpToDate>false</LinksUpToDate>
  <CharactersWithSpaces>1163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2020-08-18T07:00:00Z</dcterms:created>
  <dc:creator>a</dc:creator>
  <cp:lastModifiedBy>yuki</cp:lastModifiedBy>
  <cp:lastPrinted>2019-12-30T07:13:00Z</cp:lastPrinted>
  <dcterms:modified xsi:type="dcterms:W3CDTF">2021-02-15T12:44:28Z</dcterms:modified>
  <dc:title>设计输入评审单            版本号/修订状态：A/0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