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8529" w14:textId="115970FD" w:rsidR="009B7B11" w:rsidRPr="00DC258B" w:rsidRDefault="00DC258B" w:rsidP="00DC258B">
      <w:pPr>
        <w:widowControl/>
        <w:spacing w:after="20" w:line="29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プロジェクト名：ログからの応答同定による既設搬送システムの遅延削減基盤の開発</w:t>
      </w:r>
    </w:p>
    <w:p w14:paraId="35934DB3" w14:textId="6F189FA5" w:rsidR="00DC258B" w:rsidRPr="00DC258B" w:rsidRDefault="00DC258B" w:rsidP="00DC258B">
      <w:pPr>
        <w:widowControl/>
        <w:spacing w:after="20" w:line="29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提案者名：小幡有生、松川直生、白石雄太郎</w:t>
      </w:r>
    </w:p>
    <w:p w14:paraId="18715955" w14:textId="4F7CC7FA" w:rsidR="00DC258B" w:rsidRPr="00DC258B" w:rsidRDefault="00DC258B" w:rsidP="00DC258B">
      <w:pPr>
        <w:keepNext/>
        <w:widowControl/>
        <w:spacing w:before="160" w:after="160" w:line="360" w:lineRule="exact"/>
        <w:jc w:val="center"/>
        <w:rPr>
          <w:rFonts w:ascii="IPAexゴシック" w:eastAsia="IPAexゴシック" w:hAnsi="IPAexゴシック" w:hint="eastAsia"/>
          <w:b/>
          <w:color w:val="000000"/>
          <w:sz w:val="24"/>
        </w:rPr>
      </w:pPr>
      <w:r w:rsidRPr="00DC258B">
        <w:rPr>
          <w:rFonts w:ascii="IPAexゴシック" w:eastAsia="IPAexゴシック" w:hAnsi="IPAexゴシック" w:hint="eastAsia"/>
          <w:b/>
          <w:color w:val="000000"/>
          <w:sz w:val="24"/>
        </w:rPr>
        <w:t>【提案プロジェクト詳細資料】</w:t>
      </w:r>
    </w:p>
    <w:p w14:paraId="76052A7E" w14:textId="3F3C257A"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⓪（過去に応募した提案と類似のテーマで応募する場合）改良点など、前回の提案との差異</w:t>
      </w:r>
    </w:p>
    <w:p w14:paraId="3B602FEE" w14:textId="741BA097" w:rsidR="00DC258B" w:rsidRPr="00DC258B" w:rsidRDefault="00DC258B" w:rsidP="00DC258B">
      <w:pPr>
        <w:widowControl/>
        <w:spacing w:before="60" w:after="60" w:line="310" w:lineRule="exact"/>
        <w:ind w:left="210" w:right="210"/>
        <w:rPr>
          <w:rFonts w:ascii="IPAexゴシック" w:eastAsia="IPAexゴシック" w:hAnsi="IPAexゴシック"/>
          <w:i/>
          <w:color w:val="000000"/>
        </w:rPr>
      </w:pPr>
      <w:r w:rsidRPr="00DC258B">
        <w:rPr>
          <w:rFonts w:ascii="IPAexゴシック" w:eastAsia="IPAexゴシック" w:hAnsi="IPAexゴシック"/>
          <w:i/>
          <w:color w:val="000000"/>
        </w:rPr>
        <w:t>[要記入:全員] 3名とも未踏アドバンスト事業への過去の応募がなければ「該当なし」と記載する。</w:t>
      </w:r>
    </w:p>
    <w:p w14:paraId="2D784810" w14:textId="7A715A63"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①プロジェクトの背景、目的、目標</w:t>
      </w:r>
    </w:p>
    <w:p w14:paraId="0C4F036D" w14:textId="4E4325D8"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背景：工場の搬送は、中が見えないまま指示を出している</w:t>
      </w:r>
    </w:p>
    <w:p w14:paraId="4F919C5F" w14:textId="06FECE44"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半導体工場では、ウェハを入れた箱が数百台の装置の間を運ばれる。先端品では</w:t>
      </w:r>
      <w:r w:rsidRPr="00DC258B">
        <w:rPr>
          <w:rFonts w:ascii="IPAexゴシック" w:eastAsia="IPAexゴシック" w:hAnsi="IPAexゴシック"/>
          <w:color w:val="000000"/>
        </w:rPr>
        <w:t>1ロットあたり600</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1,000以上の工程があり、工程の数だけ搬送が発生する。微細化とともに工程は増え続け、マスク層数は28nm世代の40</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50層から5nm世代の約100層へ、工場内の滞在日数は約40日から約100日へ増えた（UC Berkeley Leachman教授、2017年報道）。運ぶのは天井のレールを走る搬送車（OHT）で、大規模工場では数千台が同時に走り、渋滞は製品の完成までの日数を直接延ばす（KAIST、2022年）。</w:t>
      </w:r>
    </w:p>
    <w:p w14:paraId="27BE18BC" w14:textId="03CA96E8"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この搬送を道路交通にたとえると、搬送車メーカーの制御装置が信号機と車を動かし、その上位にある搬送管理システム（</w:t>
      </w:r>
      <w:r w:rsidRPr="00DC258B">
        <w:rPr>
          <w:rFonts w:ascii="IPAexゴシック" w:eastAsia="IPAexゴシック" w:hAnsi="IPAexゴシック"/>
          <w:color w:val="000000"/>
        </w:rPr>
        <w:t>MCS）が「どの荷物を、どの中継点を通して、いつ送り出すか」を決めるカーナビと配車センターの役を担う。問題は、この上位が道路の混み具合を見られないことにある。</w:t>
      </w:r>
    </w:p>
    <w:p w14:paraId="7E470978" w14:textId="5D19A3DB" w:rsidR="00DC258B" w:rsidRPr="00DC258B" w:rsidRDefault="00DC258B" w:rsidP="00DC258B">
      <w:pPr>
        <w:widowControl/>
        <w:numPr>
          <w:ilvl w:val="0"/>
          <w:numId w:val="3"/>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半導体の搬送規格（</w:t>
      </w:r>
      <w:r w:rsidRPr="00DC258B">
        <w:rPr>
          <w:rFonts w:ascii="IPAexゴシック" w:eastAsia="IPAexゴシック" w:hAnsi="IPAexゴシック"/>
          <w:color w:val="000000"/>
        </w:rPr>
        <w:t>SEMI E82）は、上位から搬送装置を見たインタフェースを定めるが、渋滞や待ち行列の扱いは「追加作業が必要な項目」として未規定のまま各メーカーに委ねている。上位へ返るのは、受付、積込、荷下ろし、完了といったイベントの時刻だけである。</w:t>
      </w:r>
    </w:p>
    <w:p w14:paraId="66874979" w14:textId="34AE064D" w:rsidR="00DC258B" w:rsidRPr="00DC258B" w:rsidRDefault="00DC258B" w:rsidP="00DC258B">
      <w:pPr>
        <w:widowControl/>
        <w:numPr>
          <w:ilvl w:val="0"/>
          <w:numId w:val="3"/>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実稼働の搬送ログ</w:t>
      </w:r>
      <w:r w:rsidRPr="00DC258B">
        <w:rPr>
          <w:rFonts w:ascii="IPAexゴシック" w:eastAsia="IPAexゴシック" w:hAnsi="IPAexゴシック"/>
          <w:color w:val="000000"/>
        </w:rPr>
        <w:t>5万件超を分析した2026年の研究も、工場の搬送は複数メーカーの機器で構成され、内部の待ち行列は部分的にしか報告されず、状態はログから推定するしかないと述べている。</w:t>
      </w:r>
    </w:p>
    <w:p w14:paraId="609D0352" w14:textId="4878EFA1" w:rsidR="00DC258B" w:rsidRPr="00DC258B" w:rsidRDefault="00DC258B" w:rsidP="00DC258B">
      <w:pPr>
        <w:widowControl/>
        <w:numPr>
          <w:ilvl w:val="0"/>
          <w:numId w:val="3"/>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このため上位は、最短経路や固定の表といった静的なルールで指示を出す。結果として大半の搬送は数分で終わるが、一部が極端に遅れる。半導体には、ある工程の後、決められた時間内に次の工程へ入れないと品質が落ちる制限時間（</w:t>
      </w:r>
      <w:r w:rsidRPr="00DC258B">
        <w:rPr>
          <w:rFonts w:ascii="IPAexゴシック" w:eastAsia="IPAexゴシック" w:hAnsi="IPAexゴシック"/>
          <w:color w:val="000000"/>
        </w:rPr>
        <w:t>Q-time）があり、この一部の大きな遅れが歩留まりの低下、やり直し、装置の空転を生む。</w:t>
      </w:r>
    </w:p>
    <w:p w14:paraId="7375936B" w14:textId="0D274A64"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既設の搬送システムは止められず、交換もできない。レガシー工場は減るどころか増えており（</w:t>
      </w:r>
      <w:r w:rsidRPr="00DC258B">
        <w:rPr>
          <w:rFonts w:ascii="IPAexゴシック" w:eastAsia="IPAexゴシック" w:hAnsi="IPAexゴシック"/>
          <w:color w:val="000000"/>
        </w:rPr>
        <w:t>200mm工場の生産能力は2026年に過去最高、SEMI予測）、稼働中の工場への自動化の後付けは、専業メーカー自身が「開胸手術」と呼ぶ。搬送車の制御ソフトはメーカーの内部にあり、外から書き換えることはできない。一方で、レガシー工場の上位ソフトは保守切れや世代の混在を抱え、置き換えの需要がある。</w:t>
      </w:r>
    </w:p>
    <w:p w14:paraId="1E27C10F" w14:textId="76261D8F"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現場への聞き取りで確認したこと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058"/>
        <w:gridCol w:w="1310"/>
        <w:gridCol w:w="3742"/>
        <w:gridCol w:w="2245"/>
      </w:tblGrid>
      <w:tr w:rsidR="00DC258B" w14:paraId="084C8376" w14:textId="77777777" w:rsidTr="00DC258B">
        <w:trPr>
          <w:tblHeader/>
        </w:trPr>
        <w:tc>
          <w:tcPr>
            <w:tcW w:w="2058" w:type="dxa"/>
            <w:shd w:val="clear" w:color="auto" w:fill="D9D9D9"/>
            <w:vAlign w:val="center"/>
          </w:tcPr>
          <w:p w14:paraId="00E4F8BF" w14:textId="222E8EE2"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対象（属性）</w:t>
            </w:r>
          </w:p>
        </w:tc>
        <w:tc>
          <w:tcPr>
            <w:tcW w:w="1310" w:type="dxa"/>
            <w:shd w:val="clear" w:color="auto" w:fill="D9D9D9"/>
            <w:vAlign w:val="center"/>
          </w:tcPr>
          <w:p w14:paraId="6B276FE1" w14:textId="6F2C3942"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実施日</w:t>
            </w:r>
          </w:p>
        </w:tc>
        <w:tc>
          <w:tcPr>
            <w:tcW w:w="3742" w:type="dxa"/>
            <w:shd w:val="clear" w:color="auto" w:fill="D9D9D9"/>
            <w:vAlign w:val="center"/>
          </w:tcPr>
          <w:p w14:paraId="62FC094B" w14:textId="0E9D8BEB"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聞いた事実の要約</w:t>
            </w:r>
          </w:p>
        </w:tc>
        <w:tc>
          <w:tcPr>
            <w:tcW w:w="2245" w:type="dxa"/>
            <w:shd w:val="clear" w:color="auto" w:fill="D9D9D9"/>
            <w:vAlign w:val="center"/>
          </w:tcPr>
          <w:p w14:paraId="79FD5FAE" w14:textId="4D0D826C"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数値とその条件</w:t>
            </w:r>
          </w:p>
        </w:tc>
      </w:tr>
      <w:tr w:rsidR="00DC258B" w14:paraId="4D837054" w14:textId="77777777" w:rsidTr="00DC258B">
        <w:tc>
          <w:tcPr>
            <w:tcW w:w="2058" w:type="dxa"/>
            <w:vAlign w:val="center"/>
          </w:tcPr>
          <w:p w14:paraId="7A5BF30C" w14:textId="1A51511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[要記入:小幡] 半導体向け製造ソフトウェア企業</w:t>
            </w:r>
          </w:p>
        </w:tc>
        <w:tc>
          <w:tcPr>
            <w:tcW w:w="1310" w:type="dxa"/>
            <w:vAlign w:val="center"/>
          </w:tcPr>
          <w:p w14:paraId="34880181" w14:textId="3CA0896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w:t>
            </w:r>
          </w:p>
        </w:tc>
        <w:tc>
          <w:tcPr>
            <w:tcW w:w="3742" w:type="dxa"/>
            <w:vAlign w:val="center"/>
          </w:tcPr>
          <w:p w14:paraId="60AE8C4D" w14:textId="75C3975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 置き換えの対象範囲、現行の搬送指示の決め方、困りごと、予算を持つ部門</w:t>
            </w:r>
          </w:p>
        </w:tc>
        <w:tc>
          <w:tcPr>
            <w:tcW w:w="2245" w:type="dxa"/>
            <w:vAlign w:val="center"/>
          </w:tcPr>
          <w:p w14:paraId="23494908" w14:textId="6B91F8E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 何の指標が、どの規模で、何と比べていくつか</w:t>
            </w:r>
          </w:p>
        </w:tc>
      </w:tr>
      <w:tr w:rsidR="00DC258B" w14:paraId="2BDB96A2" w14:textId="77777777" w:rsidTr="00DC258B">
        <w:tc>
          <w:tcPr>
            <w:tcW w:w="2058" w:type="dxa"/>
            <w:vAlign w:val="center"/>
          </w:tcPr>
          <w:p w14:paraId="467917BD" w14:textId="5A06084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[要記入:小幡] 搬送システムメーカー系企業</w:t>
            </w:r>
          </w:p>
        </w:tc>
        <w:tc>
          <w:tcPr>
            <w:tcW w:w="1310" w:type="dxa"/>
            <w:vAlign w:val="center"/>
          </w:tcPr>
          <w:p w14:paraId="2E90839B" w14:textId="3478C10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w:t>
            </w:r>
          </w:p>
        </w:tc>
        <w:tc>
          <w:tcPr>
            <w:tcW w:w="3742" w:type="dxa"/>
            <w:vAlign w:val="center"/>
          </w:tcPr>
          <w:p w14:paraId="791591E5" w14:textId="1792ABC0"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 上位から出せる命令、ログの外部提供の可否</w:t>
            </w:r>
          </w:p>
        </w:tc>
        <w:tc>
          <w:tcPr>
            <w:tcW w:w="2245" w:type="dxa"/>
            <w:vAlign w:val="center"/>
          </w:tcPr>
          <w:p w14:paraId="4B8AEE0F" w14:textId="70D395A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w:t>
            </w:r>
          </w:p>
        </w:tc>
      </w:tr>
    </w:tbl>
    <w:p w14:paraId="1C5B4F0F" w14:textId="77777777" w:rsidR="00DC258B" w:rsidRDefault="00DC258B" w:rsidP="007C0BB8">
      <w:pPr>
        <w:spacing w:line="360" w:lineRule="exact"/>
        <w:ind w:firstLineChars="100" w:firstLine="210"/>
        <w:rPr>
          <w:rFonts w:ascii="IPAexゴシック" w:eastAsia="IPAexゴシック" w:hAnsi="IPAexゴシック"/>
          <w:color w:val="002060"/>
        </w:rPr>
      </w:pPr>
    </w:p>
    <w:p w14:paraId="3345D422" w14:textId="465BEBAA" w:rsidR="00DC258B" w:rsidRPr="00DC258B" w:rsidRDefault="00DC258B" w:rsidP="00DC258B">
      <w:pPr>
        <w:widowControl/>
        <w:numPr>
          <w:ilvl w:val="0"/>
          <w:numId w:val="4"/>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発見：</w:t>
      </w:r>
      <w:r w:rsidRPr="00DC258B">
        <w:rPr>
          <w:rFonts w:ascii="IPAexゴシック" w:eastAsia="IPAexゴシック" w:hAnsi="IPAexゴシック"/>
          <w:color w:val="000000"/>
        </w:rPr>
        <w:t>[要記入:小幡] 現場に聞くまで分からなかったことを1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2文で記載する。</w:t>
      </w:r>
    </w:p>
    <w:p w14:paraId="1A0372A0" w14:textId="0F451182" w:rsidR="00DC258B" w:rsidRPr="00DC258B" w:rsidRDefault="00DC258B" w:rsidP="00DC258B">
      <w:pPr>
        <w:widowControl/>
        <w:numPr>
          <w:ilvl w:val="0"/>
          <w:numId w:val="4"/>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協力の状況：</w:t>
      </w:r>
      <w:r w:rsidRPr="00DC258B">
        <w:rPr>
          <w:rFonts w:ascii="IPAexゴシック" w:eastAsia="IPAexゴシック" w:hAnsi="IPAexゴシック"/>
          <w:color w:val="000000"/>
        </w:rPr>
        <w:t>[要記入:小幡] 面談、継続面談の約束、ログ提供の意向、文書合意のうち、現在どの段階かを正確に記載する。</w:t>
      </w:r>
    </w:p>
    <w:p w14:paraId="698D365E" w14:textId="7FA62DAC"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競合の概要と差別化</w:t>
      </w:r>
    </w:p>
    <w:p w14:paraId="33BE26FF" w14:textId="3ED2FEC3" w:rsidR="00DC258B" w:rsidRPr="00DC258B" w:rsidRDefault="00DC258B" w:rsidP="00DC258B">
      <w:pPr>
        <w:widowControl/>
        <w:spacing w:after="60" w:line="310" w:lineRule="exact"/>
        <w:ind w:firstLine="210"/>
        <w:rPr>
          <w:rFonts w:ascii="IPAexゴシック" w:eastAsia="IPAexゴシック" w:hAnsi="IPAexゴシック" w:hint="eastAsia"/>
          <w:color w:val="000000"/>
        </w:rPr>
      </w:pPr>
      <w:r w:rsidRPr="00DC258B">
        <w:rPr>
          <w:rFonts w:ascii="IPAexゴシック" w:eastAsia="IPAexゴシック" w:hAnsi="IPAexゴシック" w:hint="eastAsia"/>
          <w:color w:val="000000"/>
        </w:rPr>
        <w:t>上位の搬送管理システムは、搬送車メーカー各社と、半導体製造装置大手（導入</w:t>
      </w:r>
      <w:r w:rsidRPr="00DC258B">
        <w:rPr>
          <w:rFonts w:ascii="IPAexゴシック" w:eastAsia="IPAexゴシック" w:hAnsi="IPAexゴシック"/>
          <w:color w:val="000000"/>
        </w:rPr>
        <w:t>250件超を公表する製品がある）が提供している。搬送車の経路誘導に強化学習を用い1,000台超を制御する商用システムも存在する。これらは自社が制御できる車両群を内側から最適化するか、静的なルールで搬送指示を出すものである。本提案は搬送車の制御にも既存の上位システムにも置き換わらない。内部が見えない既設の搬送システムについて、返ってくるイベントの時刻だけから混み具合と応答を運用中に同定し、上位に許された操作（中継経路、投入タイミング、優</w:t>
      </w:r>
      <w:r w:rsidRPr="00DC258B">
        <w:rPr>
          <w:rFonts w:ascii="IPAexゴシック" w:eastAsia="IPAexゴシック" w:hAnsi="IPAexゴシック" w:hint="eastAsia"/>
          <w:color w:val="000000"/>
        </w:rPr>
        <w:t>先度）の範囲で遅れを減らす部品を提供する。最も近い先行研究との違いは②に、事業上の比較は⑤に記す。</w:t>
      </w:r>
    </w:p>
    <w:p w14:paraId="545ED077" w14:textId="547058FE"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目的</w:t>
      </w:r>
    </w:p>
    <w:p w14:paraId="741F7A2C" w14:textId="769EED2E" w:rsidR="00DC258B" w:rsidRPr="00DC258B" w:rsidRDefault="00DC258B" w:rsidP="00DC258B">
      <w:pPr>
        <w:widowControl/>
        <w:spacing w:after="60" w:line="310" w:lineRule="exact"/>
        <w:ind w:firstLine="210"/>
        <w:rPr>
          <w:rFonts w:ascii="IPAexゴシック" w:eastAsia="IPAexゴシック" w:hAnsi="IPAexゴシック" w:hint="eastAsia"/>
          <w:color w:val="000000"/>
        </w:rPr>
      </w:pPr>
      <w:r w:rsidRPr="00DC258B">
        <w:rPr>
          <w:rFonts w:ascii="IPAexゴシック" w:eastAsia="IPAexゴシック" w:hAnsi="IPAexゴシック" w:hint="eastAsia"/>
          <w:color w:val="000000"/>
        </w:rPr>
        <w:t>開発の目的は、既設の搬送システムを交換せず、内部を改変せず、止めずに、搬送の大きな遅れと制限時間違反を減らす技術を確立することである。事業化の目的は、この技術を、レガシー工場の上位ソフト置き換え案件に組み込む部品として提供し、投資済みの搬送設備を使い切れるようにすることである。</w:t>
      </w:r>
    </w:p>
    <w:p w14:paraId="30534822" w14:textId="40FF30BD"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導入は</w:t>
      </w:r>
      <w:r w:rsidRPr="00DC258B">
        <w:rPr>
          <w:rFonts w:ascii="IPAexゴシック" w:eastAsia="IPAexゴシック" w:hAnsi="IPAexゴシック"/>
          <w:color w:val="000000"/>
        </w:rPr>
        <w:t>2段階とする。第1段階（診断）は、命令を一切出さず、ログだけから混み具合と搬送時間を予測し、実績と照合する。操作権限も安全審査も要らない。第2段階（制御）は、予測が当たることを現場が確認した区画から、中継経路、投入タイミング、優先度の選択に使う。搬送車同士の衝突防止は既設の制御装置が担い続けるため、本システムが判断を誤っても結果は遅れにとどまり、確信が持てないときは既存の静的ルールへ戻す。最悪でも現状と同じになる。</w:t>
      </w:r>
    </w:p>
    <w:p w14:paraId="54D40763" w14:textId="652C3B54" w:rsidR="00DC258B" w:rsidRPr="00DC258B" w:rsidRDefault="00DC258B" w:rsidP="00DC258B">
      <w:pPr>
        <w:widowControl/>
        <w:numPr>
          <w:ilvl w:val="0"/>
          <w:numId w:val="5"/>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入力：搬送指示と、受付・積込・荷下ろし・完了のイベント時刻、レイアウト、その現場で上位に許された操作の種類</w:t>
      </w:r>
    </w:p>
    <w:p w14:paraId="5697B3D9" w14:textId="0CC51A51" w:rsidR="00DC258B" w:rsidRPr="00DC258B" w:rsidRDefault="00DC258B" w:rsidP="00DC258B">
      <w:pPr>
        <w:widowControl/>
        <w:numPr>
          <w:ilvl w:val="0"/>
          <w:numId w:val="5"/>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処理：混み具合と応答の同定、搬送時間の分布の予測、同じ資源を取り合う搬送指示の抽出、制約を守った上での中継経路・タイミング・優先度の選択</w:t>
      </w:r>
    </w:p>
    <w:p w14:paraId="168D3955" w14:textId="60EE99F0" w:rsidR="00DC258B" w:rsidRPr="00DC258B" w:rsidRDefault="00DC258B" w:rsidP="00DC258B">
      <w:pPr>
        <w:widowControl/>
        <w:numPr>
          <w:ilvl w:val="0"/>
          <w:numId w:val="5"/>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出力：搬送指示の出し方（または推奨）、予測と実績の照合レポート、判断の記録</w:t>
      </w:r>
    </w:p>
    <w:p w14:paraId="2753E71A" w14:textId="08212853" w:rsidR="00DC258B" w:rsidRPr="00DC258B" w:rsidRDefault="00DC258B" w:rsidP="00DC258B">
      <w:pPr>
        <w:keepNext/>
        <w:widowControl/>
        <w:spacing w:before="120" w:after="40" w:line="310" w:lineRule="exact"/>
        <w:jc w:val="left"/>
        <w:rPr>
          <w:rFonts w:ascii="IPAexゴシック" w:eastAsia="IPAexゴシック" w:hAnsi="IPAexゴシック"/>
          <w:b/>
          <w:color w:val="000000"/>
        </w:rPr>
      </w:pPr>
      <w:r w:rsidRPr="00DC258B">
        <w:rPr>
          <w:rFonts w:ascii="IPAexゴシック" w:eastAsia="IPAexゴシック" w:hAnsi="IPAexゴシック"/>
          <w:b/>
          <w:color w:val="000000"/>
        </w:rPr>
        <w:t>8か月後の到達目標</w:t>
      </w:r>
    </w:p>
    <w:p w14:paraId="649B7F0D" w14:textId="3C661421" w:rsidR="00DC258B" w:rsidRPr="00DC258B" w:rsidRDefault="00DC258B" w:rsidP="00DC258B">
      <w:pPr>
        <w:widowControl/>
        <w:spacing w:after="60" w:line="310" w:lineRule="exact"/>
        <w:ind w:firstLine="210"/>
        <w:rPr>
          <w:rFonts w:ascii="IPAexゴシック" w:eastAsia="IPAexゴシック" w:hAnsi="IPAexゴシック" w:hint="eastAsia"/>
          <w:color w:val="000000"/>
        </w:rPr>
      </w:pPr>
      <w:r w:rsidRPr="00DC258B">
        <w:rPr>
          <w:rFonts w:ascii="IPAexゴシック" w:eastAsia="IPAexゴシック" w:hAnsi="IPAexゴシック" w:hint="eastAsia"/>
          <w:color w:val="000000"/>
        </w:rPr>
        <w:t>現状値は応募前後の簡易シミュレーションで測定して確定する。下表は反証可能な暫定値である。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526"/>
        <w:gridCol w:w="1216"/>
        <w:gridCol w:w="2339"/>
        <w:gridCol w:w="3274"/>
      </w:tblGrid>
      <w:tr w:rsidR="00DC258B" w14:paraId="648225FD" w14:textId="77777777" w:rsidTr="00DC258B">
        <w:trPr>
          <w:tblHeader/>
        </w:trPr>
        <w:tc>
          <w:tcPr>
            <w:tcW w:w="2526" w:type="dxa"/>
            <w:shd w:val="clear" w:color="auto" w:fill="D9D9D9"/>
            <w:vAlign w:val="center"/>
          </w:tcPr>
          <w:p w14:paraId="311BE6B2" w14:textId="5C8FBFFB"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評価指標</w:t>
            </w:r>
          </w:p>
        </w:tc>
        <w:tc>
          <w:tcPr>
            <w:tcW w:w="1216" w:type="dxa"/>
            <w:shd w:val="clear" w:color="auto" w:fill="D9D9D9"/>
            <w:vAlign w:val="center"/>
          </w:tcPr>
          <w:p w14:paraId="166DFB54" w14:textId="11C4EA6F"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現状</w:t>
            </w:r>
          </w:p>
        </w:tc>
        <w:tc>
          <w:tcPr>
            <w:tcW w:w="2339" w:type="dxa"/>
            <w:shd w:val="clear" w:color="auto" w:fill="D9D9D9"/>
            <w:vAlign w:val="center"/>
          </w:tcPr>
          <w:p w14:paraId="144F95FE" w14:textId="4A626D87"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暫定目標</w:t>
            </w:r>
          </w:p>
        </w:tc>
        <w:tc>
          <w:tcPr>
            <w:tcW w:w="3274" w:type="dxa"/>
            <w:shd w:val="clear" w:color="auto" w:fill="D9D9D9"/>
            <w:vAlign w:val="center"/>
          </w:tcPr>
          <w:p w14:paraId="4C39E7E5" w14:textId="3D10BFA4"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測定条件・比較対象</w:t>
            </w:r>
          </w:p>
        </w:tc>
      </w:tr>
      <w:tr w:rsidR="00DC258B" w14:paraId="0D0AB944" w14:textId="77777777" w:rsidTr="00DC258B">
        <w:tc>
          <w:tcPr>
            <w:tcW w:w="2526" w:type="dxa"/>
            <w:vAlign w:val="center"/>
          </w:tcPr>
          <w:p w14:paraId="6FF84707" w14:textId="4694CA20"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搬送時間の予測誤差（診断）</w:t>
            </w:r>
          </w:p>
        </w:tc>
        <w:tc>
          <w:tcPr>
            <w:tcW w:w="1216" w:type="dxa"/>
            <w:vAlign w:val="center"/>
          </w:tcPr>
          <w:p w14:paraId="22C9DBDE" w14:textId="551AF56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3504A519" w14:textId="310F94A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中央値で</w:t>
            </w:r>
            <w:r w:rsidRPr="00DC258B">
              <w:rPr>
                <w:rFonts w:ascii="IPAexゴシック" w:eastAsia="IPAexゴシック" w:hAnsi="IPAexゴシック"/>
                <w:color w:val="000000"/>
              </w:rPr>
              <w:t>[数値]%以内</w:t>
            </w:r>
          </w:p>
        </w:tc>
        <w:tc>
          <w:tcPr>
            <w:tcW w:w="3274" w:type="dxa"/>
            <w:vAlign w:val="center"/>
          </w:tcPr>
          <w:p w14:paraId="0E3E7492" w14:textId="3DC6D80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イベント時刻のみを入力。シミュレーションの真値と、実ログの保留区間で検証</w:t>
            </w:r>
          </w:p>
        </w:tc>
      </w:tr>
      <w:tr w:rsidR="00DC258B" w14:paraId="7FC6BE29" w14:textId="77777777" w:rsidTr="00DC258B">
        <w:tc>
          <w:tcPr>
            <w:tcW w:w="2526" w:type="dxa"/>
            <w:vAlign w:val="center"/>
          </w:tcPr>
          <w:p w14:paraId="6F723054" w14:textId="105B87E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大きな遅れの事前検知（診断）</w:t>
            </w:r>
          </w:p>
        </w:tc>
        <w:tc>
          <w:tcPr>
            <w:tcW w:w="1216" w:type="dxa"/>
            <w:vAlign w:val="center"/>
          </w:tcPr>
          <w:p w14:paraId="0AB5036D" w14:textId="227A45B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5D511848" w14:textId="4D33B8B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上位</w:t>
            </w:r>
            <w:r w:rsidRPr="00DC258B">
              <w:rPr>
                <w:rFonts w:ascii="IPAexゴシック" w:eastAsia="IPAexゴシック" w:hAnsi="IPAexゴシック"/>
                <w:color w:val="000000"/>
              </w:rPr>
              <w:t>5%の遅れの[数値]%を事前に検知</w:t>
            </w:r>
          </w:p>
        </w:tc>
        <w:tc>
          <w:tcPr>
            <w:tcW w:w="3274" w:type="dxa"/>
            <w:vAlign w:val="center"/>
          </w:tcPr>
          <w:p w14:paraId="0B1D5807" w14:textId="544188F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同上</w:t>
            </w:r>
          </w:p>
        </w:tc>
      </w:tr>
      <w:tr w:rsidR="00DC258B" w14:paraId="209F6BF7" w14:textId="77777777" w:rsidTr="00DC258B">
        <w:tc>
          <w:tcPr>
            <w:tcW w:w="2526" w:type="dxa"/>
            <w:vAlign w:val="center"/>
          </w:tcPr>
          <w:p w14:paraId="067A1EE3" w14:textId="0520852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搬送時間の</w:t>
            </w:r>
            <w:r w:rsidRPr="00DC258B">
              <w:rPr>
                <w:rFonts w:ascii="IPAexゴシック" w:eastAsia="IPAexゴシック" w:hAnsi="IPAexゴシック"/>
                <w:color w:val="000000"/>
              </w:rPr>
              <w:t>95パーセンタイル（制御）</w:t>
            </w:r>
          </w:p>
        </w:tc>
        <w:tc>
          <w:tcPr>
            <w:tcW w:w="1216" w:type="dxa"/>
            <w:vAlign w:val="center"/>
          </w:tcPr>
          <w:p w14:paraId="15FFA4D6" w14:textId="4BA17F1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0B636C54" w14:textId="36735E6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静的最短経路比</w:t>
            </w:r>
            <w:r w:rsidRPr="00DC258B">
              <w:rPr>
                <w:rFonts w:ascii="IPAexゴシック" w:eastAsia="IPAexゴシック" w:hAnsi="IPAexゴシック"/>
                <w:color w:val="000000"/>
              </w:rPr>
              <w:t>15%以上短縮</w:t>
            </w:r>
          </w:p>
        </w:tc>
        <w:tc>
          <w:tcPr>
            <w:tcW w:w="3274" w:type="dxa"/>
            <w:vAlign w:val="center"/>
          </w:tcPr>
          <w:p w14:paraId="003F8A0B" w14:textId="18AEBC6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自作シミュレータ、高負荷条件。先行研究の報告値は約</w:t>
            </w:r>
            <w:r w:rsidRPr="00DC258B">
              <w:rPr>
                <w:rFonts w:ascii="IPAexゴシック" w:eastAsia="IPAexゴシック" w:hAnsi="IPAexゴシック"/>
                <w:color w:val="000000"/>
              </w:rPr>
              <w:t>10%</w:t>
            </w:r>
          </w:p>
        </w:tc>
      </w:tr>
      <w:tr w:rsidR="00DC258B" w14:paraId="43784453" w14:textId="77777777" w:rsidTr="00DC258B">
        <w:tc>
          <w:tcPr>
            <w:tcW w:w="2526" w:type="dxa"/>
            <w:vAlign w:val="center"/>
          </w:tcPr>
          <w:p w14:paraId="1EFD9D67" w14:textId="027E02E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制限時間違反の件数（制御）</w:t>
            </w:r>
          </w:p>
        </w:tc>
        <w:tc>
          <w:tcPr>
            <w:tcW w:w="1216" w:type="dxa"/>
            <w:vAlign w:val="center"/>
          </w:tcPr>
          <w:p w14:paraId="028C42E7" w14:textId="37430A3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59EF3A29" w14:textId="21EC1B8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50%削減</w:t>
            </w:r>
          </w:p>
        </w:tc>
        <w:tc>
          <w:tcPr>
            <w:tcW w:w="3274" w:type="dxa"/>
            <w:vAlign w:val="center"/>
          </w:tcPr>
          <w:p w14:paraId="4997111C" w14:textId="79E8ED5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制限時間つきロットを混在させた条件</w:t>
            </w:r>
          </w:p>
        </w:tc>
      </w:tr>
      <w:tr w:rsidR="00DC258B" w14:paraId="54E267A7" w14:textId="77777777" w:rsidTr="00DC258B">
        <w:tc>
          <w:tcPr>
            <w:tcW w:w="2526" w:type="dxa"/>
            <w:vAlign w:val="center"/>
          </w:tcPr>
          <w:p w14:paraId="77E2063B" w14:textId="77E5567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現状より悪化しないこと</w:t>
            </w:r>
          </w:p>
        </w:tc>
        <w:tc>
          <w:tcPr>
            <w:tcW w:w="1216" w:type="dxa"/>
            <w:vAlign w:val="center"/>
          </w:tcPr>
          <w:p w14:paraId="3515FCB8" w14:textId="3433718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278CFF47" w14:textId="3497B8A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全条件で静的ルールを下回らない</w:t>
            </w:r>
          </w:p>
        </w:tc>
        <w:tc>
          <w:tcPr>
            <w:tcW w:w="3274" w:type="dxa"/>
            <w:vAlign w:val="center"/>
          </w:tcPr>
          <w:p w14:paraId="672A17DD" w14:textId="3B93289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制約層と静的ルールへの復帰を含めて検証</w:t>
            </w:r>
          </w:p>
        </w:tc>
      </w:tr>
      <w:tr w:rsidR="00DC258B" w14:paraId="452205FF" w14:textId="77777777" w:rsidTr="00DC258B">
        <w:tc>
          <w:tcPr>
            <w:tcW w:w="2526" w:type="dxa"/>
            <w:vAlign w:val="center"/>
          </w:tcPr>
          <w:p w14:paraId="0CAF60DD" w14:textId="17883D5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未知の現場への適応</w:t>
            </w:r>
          </w:p>
        </w:tc>
        <w:tc>
          <w:tcPr>
            <w:tcW w:w="1216" w:type="dxa"/>
            <w:vAlign w:val="center"/>
          </w:tcPr>
          <w:p w14:paraId="3F23C70A" w14:textId="60A5CCF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[要測定]</w:t>
            </w:r>
          </w:p>
        </w:tc>
        <w:tc>
          <w:tcPr>
            <w:tcW w:w="2339" w:type="dxa"/>
            <w:vAlign w:val="center"/>
          </w:tcPr>
          <w:p w14:paraId="5A97B2C8" w14:textId="777A22F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構成変更後</w:t>
            </w:r>
            <w:r w:rsidRPr="00DC258B">
              <w:rPr>
                <w:rFonts w:ascii="IPAexゴシック" w:eastAsia="IPAexゴシック" w:hAnsi="IPAexゴシック"/>
                <w:color w:val="000000"/>
              </w:rPr>
              <w:t>[数値]時間で予測精度が回復</w:t>
            </w:r>
          </w:p>
        </w:tc>
        <w:tc>
          <w:tcPr>
            <w:tcW w:w="3274" w:type="dxa"/>
            <w:vAlign w:val="center"/>
          </w:tcPr>
          <w:p w14:paraId="08B28EEE" w14:textId="239D2E1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台数、レイアウト、応答特性を変更</w:t>
            </w:r>
          </w:p>
        </w:tc>
      </w:tr>
      <w:tr w:rsidR="00DC258B" w14:paraId="325406A5" w14:textId="77777777" w:rsidTr="00DC258B">
        <w:tc>
          <w:tcPr>
            <w:tcW w:w="2526" w:type="dxa"/>
            <w:vAlign w:val="center"/>
          </w:tcPr>
          <w:p w14:paraId="454CD0B1" w14:textId="5FFDC44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現場での検証</w:t>
            </w:r>
          </w:p>
        </w:tc>
        <w:tc>
          <w:tcPr>
            <w:tcW w:w="1216" w:type="dxa"/>
            <w:vAlign w:val="center"/>
          </w:tcPr>
          <w:p w14:paraId="2EEEF3F6" w14:textId="2560B4A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[要記入:小幡]</w:t>
            </w:r>
          </w:p>
        </w:tc>
        <w:tc>
          <w:tcPr>
            <w:tcW w:w="2339" w:type="dxa"/>
            <w:vAlign w:val="center"/>
          </w:tcPr>
          <w:p w14:paraId="20120028" w14:textId="2AD58F1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実ログでの診断</w:t>
            </w:r>
            <w:r w:rsidRPr="00DC258B">
              <w:rPr>
                <w:rFonts w:ascii="IPAexゴシック" w:eastAsia="IPAexゴシック" w:hAnsi="IPAexゴシック"/>
                <w:color w:val="000000"/>
              </w:rPr>
              <w:t>1拠点、命令を出さない並走運用1件</w:t>
            </w:r>
          </w:p>
        </w:tc>
        <w:tc>
          <w:tcPr>
            <w:tcW w:w="3274" w:type="dxa"/>
            <w:vAlign w:val="center"/>
          </w:tcPr>
          <w:p w14:paraId="6D9CC590" w14:textId="5DDF50B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協力先と評価指標を文書合意</w:t>
            </w:r>
          </w:p>
        </w:tc>
      </w:tr>
    </w:tbl>
    <w:p w14:paraId="4664CF94"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486FDF8C" w14:textId="06DFD707"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②開発に関する未踏性の主張、期待される効果など</w:t>
      </w:r>
    </w:p>
    <w:p w14:paraId="0AE75668" w14:textId="67EA7845"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既存の方法ではなぜ解けないか</w:t>
      </w:r>
    </w:p>
    <w:p w14:paraId="200FBF90" w14:textId="1734C757" w:rsidR="00DC258B" w:rsidRPr="00DC258B" w:rsidRDefault="00DC258B" w:rsidP="00DC258B">
      <w:pPr>
        <w:widowControl/>
        <w:numPr>
          <w:ilvl w:val="0"/>
          <w:numId w:val="6"/>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搬送車メーカーの制御装置は、自社の車両群を内側から最適化する。工場の上位からは内部が見えず、外部の者が改変することもできない。ここは衝突防止を担う安全の本体であり、本提案は触れない。</w:t>
      </w:r>
    </w:p>
    <w:p w14:paraId="6DC75FD1" w14:textId="5C223906" w:rsidR="00DC258B" w:rsidRPr="00DC258B" w:rsidRDefault="00DC258B" w:rsidP="00DC258B">
      <w:pPr>
        <w:widowControl/>
        <w:numPr>
          <w:ilvl w:val="0"/>
          <w:numId w:val="6"/>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上位の搬送管理システムは、内部が見えないため静的なルールで指示を出す。混み具合を上位へ詳しく報告させるには、メーカー側の改修が必要になる。</w:t>
      </w:r>
    </w:p>
    <w:p w14:paraId="1BF30D51" w14:textId="3E6EBE72" w:rsidR="00DC258B" w:rsidRPr="00DC258B" w:rsidRDefault="00DC258B" w:rsidP="00DC258B">
      <w:pPr>
        <w:widowControl/>
        <w:numPr>
          <w:ilvl w:val="0"/>
          <w:numId w:val="6"/>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最も近い先行研究（</w:t>
      </w:r>
      <w:r w:rsidRPr="00DC258B">
        <w:rPr>
          <w:rFonts w:ascii="IPAexゴシック" w:eastAsia="IPAexゴシック" w:hAnsi="IPAexゴシック"/>
          <w:color w:val="000000"/>
        </w:rPr>
        <w:t>2026年8月、実稼働ログ51,700件）は、上位での渋滞を考慮した経路選択を学習し、シミュレーションで平均搬送時間16%、内部の待ち時間23%の短縮を報告した。問題が実在し上位から効くことの裏づけである。ただし、1拠点のログで事前に学習したモデルを経路選択だけに用いており、著者自身が段階的で監視つきの導入を推奨するにとどまる。</w:t>
      </w:r>
    </w:p>
    <w:p w14:paraId="6EB53B46" w14:textId="121D5536"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技術的な核（自作する範囲）</w:t>
      </w:r>
    </w:p>
    <w:p w14:paraId="550CF4EE" w14:textId="156BA372" w:rsidR="00DC258B" w:rsidRPr="00DC258B" w:rsidRDefault="00DC258B" w:rsidP="00DC258B">
      <w:pPr>
        <w:widowControl/>
        <w:numPr>
          <w:ilvl w:val="0"/>
          <w:numId w:val="7"/>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ブラックボックス応答同定：機器にもメーカーのソフトにも手を入れず、イベントの時刻だけから、区画や中継点ごとの隠れた混み具合と、「いまここへもう</w:t>
      </w:r>
      <w:r w:rsidRPr="00DC258B">
        <w:rPr>
          <w:rFonts w:ascii="IPAexゴシック" w:eastAsia="IPAexゴシック" w:hAnsi="IPAexゴシック"/>
          <w:color w:val="000000"/>
        </w:rPr>
        <w:t>1件入れたら何分かかるか」の分布を推定する。道路の信号機の中身を知らずに走行データから渋滞を推定するのと同じ構造である。推定は運用中に更新し続け、台数の増減、レイアウト変更、メーカーのソフト更新があっても人手で作り直さない。</w:t>
      </w:r>
    </w:p>
    <w:p w14:paraId="47EF0F77" w14:textId="406A92D3" w:rsidR="00DC258B" w:rsidRPr="00DC258B" w:rsidRDefault="00DC258B" w:rsidP="00DC258B">
      <w:pPr>
        <w:widowControl/>
        <w:numPr>
          <w:ilvl w:val="0"/>
          <w:numId w:val="7"/>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競合中心の計算：全搬送指示を常時最適化しない。これから数分の間に同じ資源（中継点の出入口、昇降機、区画）を取り合う搬送指示の組だけを抜き出して解く。計算量は総数ではなく、同時に取り合っている件数で決まる。</w:t>
      </w:r>
    </w:p>
    <w:p w14:paraId="43996CEE" w14:textId="76926DC6" w:rsidR="00DC258B" w:rsidRPr="00DC258B" w:rsidRDefault="00DC258B" w:rsidP="00DC258B">
      <w:pPr>
        <w:widowControl/>
        <w:numPr>
          <w:ilvl w:val="0"/>
          <w:numId w:val="7"/>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操作権限の契約化：その現場の上位に許された操作（中継経路の選択、投入の保留とその上限時間、優先度）を契約として記述し、その範囲だけで解を求める。現場ごとの違いは契約と接続部に閉じ込める。</w:t>
      </w:r>
    </w:p>
    <w:p w14:paraId="56EF6B10" w14:textId="7E40C715" w:rsidR="00DC258B" w:rsidRPr="00DC258B" w:rsidRDefault="00DC258B" w:rsidP="00DC258B">
      <w:pPr>
        <w:widowControl/>
        <w:numPr>
          <w:ilvl w:val="0"/>
          <w:numId w:val="7"/>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制約層と復帰：制限時間を破らない、保留時間に上限を設ける、特定のロットを待たせ続けない、の</w:t>
      </w:r>
      <w:r w:rsidRPr="00DC258B">
        <w:rPr>
          <w:rFonts w:ascii="IPAexゴシック" w:eastAsia="IPAexゴシック" w:hAnsi="IPAexゴシック"/>
          <w:color w:val="000000"/>
        </w:rPr>
        <w:t>3つを学習部とは独立に強制する。予測の確信度が低いときは既存の静的ルールへ戻す。</w:t>
      </w:r>
    </w:p>
    <w:p w14:paraId="4063E32A" w14:textId="61D15910" w:rsidR="00DC258B" w:rsidRPr="00DC258B" w:rsidRDefault="00DC258B" w:rsidP="00DC258B">
      <w:pPr>
        <w:widowControl/>
        <w:numPr>
          <w:ilvl w:val="0"/>
          <w:numId w:val="7"/>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制御に触れない検証：予測が当たるかどうかは、命令を出さなくても実ログとの照合で検証できる。診断、並走運用、限定区画での制御の順に入る導入系そのものを開発対象とする。</w:t>
      </w:r>
    </w:p>
    <w:p w14:paraId="793CB862" w14:textId="37E65B05"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最大の技術仮説</w:t>
      </w:r>
    </w:p>
    <w:p w14:paraId="4EB09D01" w14:textId="68840694" w:rsidR="00DC258B" w:rsidRPr="00DC258B" w:rsidRDefault="00DC258B" w:rsidP="00DC258B">
      <w:pPr>
        <w:widowControl/>
        <w:spacing w:after="60" w:line="310" w:lineRule="exact"/>
        <w:ind w:firstLine="210"/>
        <w:rPr>
          <w:rFonts w:ascii="IPAexゴシック" w:eastAsia="IPAexゴシック" w:hAnsi="IPAexゴシック" w:hint="eastAsia"/>
          <w:color w:val="000000"/>
        </w:rPr>
      </w:pPr>
      <w:r w:rsidRPr="00DC258B">
        <w:rPr>
          <w:rFonts w:ascii="IPAexゴシック" w:eastAsia="IPAexゴシック" w:hAnsi="IPAexゴシック" w:hint="eastAsia"/>
          <w:color w:val="000000"/>
        </w:rPr>
        <w:t>内部が見えない搬送システムでも、上位に返るイベントの時刻だけから混み具合と応答を運用中に同定できれば、静的なルールより搬送時間の大きな遅れと制限時間違反を減らせ、かつ現状より悪化させない。イベントの時刻だけでは混み具合を十分に推定できない場合、または上位に許された操作だけでは改善幅が出ない場合、この仮説は棄却される。その場合の縮小先は③に記す。</w:t>
      </w:r>
    </w:p>
    <w:p w14:paraId="2E76B088" w14:textId="1A5F1286"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保有する技術シーズ</w:t>
      </w:r>
    </w:p>
    <w:p w14:paraId="25B7846C" w14:textId="3B390334" w:rsidR="00DC258B" w:rsidRPr="00DC258B" w:rsidRDefault="00DC258B" w:rsidP="00DC258B">
      <w:pPr>
        <w:widowControl/>
        <w:numPr>
          <w:ilvl w:val="0"/>
          <w:numId w:val="8"/>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[要記入:松川・白石] 機械学習の研究実績のうち、部分観測下の推定、時系列予測、強化学習、オンライン学習に関わるものを、本件の同定と制御にどう使うかを各2</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3文で記載する。</w:t>
      </w:r>
    </w:p>
    <w:p w14:paraId="566241F3" w14:textId="3B91BCD3" w:rsidR="00DC258B" w:rsidRPr="00DC258B" w:rsidRDefault="00DC258B" w:rsidP="00DC258B">
      <w:pPr>
        <w:widowControl/>
        <w:numPr>
          <w:ilvl w:val="0"/>
          <w:numId w:val="8"/>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[要記入:小幡] 実運用される低遅延システムを設計し顧客環境で運用した経験を、止められない現場への段階導入と制約層の設計にどう使うかを2</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3文で記載する。</w:t>
      </w:r>
    </w:p>
    <w:p w14:paraId="35FC5FB0" w14:textId="27060D3A" w:rsidR="00DC258B" w:rsidRPr="00DC258B" w:rsidRDefault="00DC258B" w:rsidP="00DC258B">
      <w:pPr>
        <w:widowControl/>
        <w:numPr>
          <w:ilvl w:val="0"/>
          <w:numId w:val="8"/>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[要記入:応募前デモ] 自作の簡易シミュレータで、静的ルールと本方式を比較した結果を1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2文で記載する。実工場のデータではなく自作シミュレーションの結果であることを明記する。</w:t>
      </w:r>
    </w:p>
    <w:p w14:paraId="6F293DBC" w14:textId="3452CBC4"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期待される効果</w:t>
      </w:r>
    </w:p>
    <w:p w14:paraId="6700B812" w14:textId="0BDFAE6C" w:rsidR="00DC258B" w:rsidRPr="00DC258B" w:rsidRDefault="00DC258B" w:rsidP="00DC258B">
      <w:pPr>
        <w:widowControl/>
        <w:numPr>
          <w:ilvl w:val="0"/>
          <w:numId w:val="9"/>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直接の効果：搬送車を買い足さずに、投資済みの搬送設備の能力を引き出す。公開されている改善幅は、搬送車の経路制御単独で平均搬送時間の数</w:t>
      </w:r>
      <w:r w:rsidRPr="00DC258B">
        <w:rPr>
          <w:rFonts w:ascii="IPAexゴシック" w:eastAsia="IPAexゴシック" w:hAnsi="IPAexゴシック"/>
          <w:color w:val="000000"/>
        </w:rPr>
        <w:t>%、搬送指示の割当まで含めると10</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30%で、いずれもシミュレーション値である。本提案は平均値ではなく、損失を生む一部の大きな遅れと制限時間違反の削減を効果の中心に置く。</w:t>
      </w:r>
    </w:p>
    <w:p w14:paraId="086CEE16" w14:textId="23A52D7B" w:rsidR="00DC258B" w:rsidRPr="00DC258B" w:rsidRDefault="00DC258B" w:rsidP="00DC258B">
      <w:pPr>
        <w:widowControl/>
        <w:numPr>
          <w:ilvl w:val="0"/>
          <w:numId w:val="9"/>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技術の波及：内部を変えられない自律システムを、外側からの観測と限られた操作で使い切るという能力は、物流倉庫の複数メーカー混在の搬送ロボット、病院内搬送、港湾へ展開できる。</w:t>
      </w:r>
    </w:p>
    <w:p w14:paraId="1A70D65D" w14:textId="3F84B088" w:rsidR="00DC258B" w:rsidRPr="00DC258B" w:rsidRDefault="00DC258B" w:rsidP="00DC258B">
      <w:pPr>
        <w:widowControl/>
        <w:numPr>
          <w:ilvl w:val="0"/>
          <w:numId w:val="9"/>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社会的な効果：国内では兆円単位の半導体工場投資が進む一方、車載・パワー半導体を支える既存の</w:t>
      </w:r>
      <w:r w:rsidRPr="00DC258B">
        <w:rPr>
          <w:rFonts w:ascii="IPAexゴシック" w:eastAsia="IPAexゴシック" w:hAnsi="IPAexゴシック"/>
          <w:color w:val="000000"/>
        </w:rPr>
        <w:t>200mm工場と、自動化が遅れていた後工程（国内で自動化・標準化の技術研究組合が2024年に設立、2028年実用化目標）では、既設を活かした増産と省人化の手段が求められている。</w:t>
      </w:r>
    </w:p>
    <w:p w14:paraId="06B607D8" w14:textId="2922974C"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③開発の具体的な進め方</w:t>
      </w:r>
    </w:p>
    <w:p w14:paraId="08C3864B" w14:textId="5003A25B"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現状のプロトタイプ</w:t>
      </w:r>
    </w:p>
    <w:p w14:paraId="4238D0DD" w14:textId="6D099756" w:rsidR="00DC258B" w:rsidRPr="00DC258B" w:rsidRDefault="00DC258B" w:rsidP="00DC258B">
      <w:pPr>
        <w:widowControl/>
        <w:spacing w:before="60" w:after="60" w:line="310" w:lineRule="exact"/>
        <w:ind w:left="210" w:right="210"/>
        <w:rPr>
          <w:rFonts w:ascii="IPAexゴシック" w:eastAsia="IPAexゴシック" w:hAnsi="IPAexゴシック"/>
          <w:i/>
          <w:color w:val="000000"/>
        </w:rPr>
      </w:pPr>
      <w:r w:rsidRPr="00DC258B">
        <w:rPr>
          <w:rFonts w:ascii="IPAexゴシック" w:eastAsia="IPAexゴシック" w:hAnsi="IPAexゴシック"/>
          <w:i/>
          <w:color w:val="000000"/>
        </w:rPr>
        <w:t>[要記入:応募前デモ] 応募日時点で存在するものだけを記載する。自作の簡易シミュレータ（装置十数台、中継点2</w:t>
      </w:r>
      <w:r w:rsidRPr="00DC258B">
        <w:rPr>
          <w:rFonts w:ascii="IPAexゴシック" w:eastAsia="IPAexゴシック" w:hAnsi="IPAexゴシック" w:hint="eastAsia"/>
          <w:i/>
          <w:color w:val="000000"/>
        </w:rPr>
        <w:t>〜</w:t>
      </w:r>
      <w:r w:rsidRPr="00DC258B">
        <w:rPr>
          <w:rFonts w:ascii="IPAexゴシック" w:eastAsia="IPAexゴシック" w:hAnsi="IPAexゴシック"/>
          <w:i/>
          <w:color w:val="000000"/>
        </w:rPr>
        <w:t>3基、内部の待ち行列は非公開）で、イベント時刻だけからの混み具合の推定と、静的ルールとの搬送時間分布の比較を行った結果と、動画のURL。</w:t>
      </w:r>
    </w:p>
    <w:p w14:paraId="22658DC1" w14:textId="2CFBE1CF"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システム構成</w:t>
      </w:r>
    </w:p>
    <w:p w14:paraId="1DF6F6FD" w14:textId="63BC5D5C"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既設の搬送管理システムまたはその置き換え後のソフト（搬送指示とイベント時刻）→</w:t>
      </w:r>
      <w:r w:rsidRPr="00DC258B">
        <w:rPr>
          <w:rFonts w:ascii="IPAexゴシック" w:eastAsia="IPAexゴシック" w:hAnsi="IPAexゴシック"/>
          <w:color w:val="000000"/>
        </w:rPr>
        <w:t xml:space="preserve"> 接続部 → 応答同定器 → 搬送時間の予測と取り合いの抽出 → 選択器（中継経路、投入タイミング、優先度）→ 制約層（制限時間、保留上限、静的ルールへの復帰）→ 接続部 → 搬送指示。全ての予測、判断、実績を記録し、同じ記録から予測精度と改善幅を再評価できるようにする。搬送車とメーカーの制御装置には一切接続しない。[図:システム構成図。担当:白石]</w:t>
      </w:r>
    </w:p>
    <w:p w14:paraId="2DD131FE" w14:textId="4D77A055"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事業期間中の開発内容と開発体制</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5"/>
        <w:gridCol w:w="3648"/>
        <w:gridCol w:w="2339"/>
        <w:gridCol w:w="1403"/>
      </w:tblGrid>
      <w:tr w:rsidR="00DC258B" w14:paraId="11A5BA9C" w14:textId="77777777" w:rsidTr="00DC258B">
        <w:trPr>
          <w:tblHeader/>
        </w:trPr>
        <w:tc>
          <w:tcPr>
            <w:tcW w:w="1965" w:type="dxa"/>
            <w:shd w:val="clear" w:color="auto" w:fill="D9D9D9"/>
            <w:vAlign w:val="center"/>
          </w:tcPr>
          <w:p w14:paraId="2FC2BC30" w14:textId="2095BB9A"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開発項目</w:t>
            </w:r>
          </w:p>
        </w:tc>
        <w:tc>
          <w:tcPr>
            <w:tcW w:w="3648" w:type="dxa"/>
            <w:shd w:val="clear" w:color="auto" w:fill="D9D9D9"/>
            <w:vAlign w:val="center"/>
          </w:tcPr>
          <w:p w14:paraId="5CBA3AA7" w14:textId="2B4AC7CE"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内容</w:t>
            </w:r>
          </w:p>
        </w:tc>
        <w:tc>
          <w:tcPr>
            <w:tcW w:w="2339" w:type="dxa"/>
            <w:shd w:val="clear" w:color="auto" w:fill="D9D9D9"/>
            <w:vAlign w:val="center"/>
          </w:tcPr>
          <w:p w14:paraId="6F6901DD" w14:textId="6EE000E6"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成果物と合格条件</w:t>
            </w:r>
          </w:p>
        </w:tc>
        <w:tc>
          <w:tcPr>
            <w:tcW w:w="1403" w:type="dxa"/>
            <w:shd w:val="clear" w:color="auto" w:fill="D9D9D9"/>
            <w:vAlign w:val="center"/>
          </w:tcPr>
          <w:p w14:paraId="2A797C63" w14:textId="228F7A4F"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主担当</w:t>
            </w:r>
          </w:p>
        </w:tc>
      </w:tr>
      <w:tr w:rsidR="00DC258B" w14:paraId="5755EC36" w14:textId="77777777" w:rsidTr="00DC258B">
        <w:tc>
          <w:tcPr>
            <w:tcW w:w="1965" w:type="dxa"/>
            <w:vAlign w:val="center"/>
          </w:tcPr>
          <w:p w14:paraId="1DF4A194" w14:textId="7553DAD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評価基盤</w:t>
            </w:r>
          </w:p>
        </w:tc>
        <w:tc>
          <w:tcPr>
            <w:tcW w:w="3648" w:type="dxa"/>
            <w:vAlign w:val="center"/>
          </w:tcPr>
          <w:p w14:paraId="4CE7795D" w14:textId="2CFEBE5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内部が見えない搬送網のシミュレータ。工場の公開レイアウトを模した条件、制限時間つきロット、高負荷、構成変更</w:t>
            </w:r>
          </w:p>
        </w:tc>
        <w:tc>
          <w:tcPr>
            <w:tcW w:w="2339" w:type="dxa"/>
            <w:vAlign w:val="center"/>
          </w:tcPr>
          <w:p w14:paraId="6727D361" w14:textId="43D9332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再現可能なベンチマーク、静的ルールの基準値</w:t>
            </w:r>
          </w:p>
        </w:tc>
        <w:tc>
          <w:tcPr>
            <w:tcW w:w="1403" w:type="dxa"/>
            <w:vAlign w:val="center"/>
          </w:tcPr>
          <w:p w14:paraId="7DE50DF8" w14:textId="7E8D0CD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白石</w:t>
            </w:r>
          </w:p>
        </w:tc>
      </w:tr>
      <w:tr w:rsidR="00DC258B" w14:paraId="493DFAF8" w14:textId="77777777" w:rsidTr="00DC258B">
        <w:tc>
          <w:tcPr>
            <w:tcW w:w="1965" w:type="dxa"/>
            <w:vAlign w:val="center"/>
          </w:tcPr>
          <w:p w14:paraId="1653BD0B" w14:textId="043205C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応答同定と予測</w:t>
            </w:r>
          </w:p>
        </w:tc>
        <w:tc>
          <w:tcPr>
            <w:tcW w:w="3648" w:type="dxa"/>
            <w:vAlign w:val="center"/>
          </w:tcPr>
          <w:p w14:paraId="25881847" w14:textId="0E15226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イベント時刻からの混み具合と搬送時間分布のオンライン推定</w:t>
            </w:r>
          </w:p>
        </w:tc>
        <w:tc>
          <w:tcPr>
            <w:tcW w:w="2339" w:type="dxa"/>
            <w:vAlign w:val="center"/>
          </w:tcPr>
          <w:p w14:paraId="711827FE" w14:textId="5BD675B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予測誤差と大きな遅れの検知率の目標達成、構成変更後の回復</w:t>
            </w:r>
          </w:p>
        </w:tc>
        <w:tc>
          <w:tcPr>
            <w:tcW w:w="1403" w:type="dxa"/>
            <w:vAlign w:val="center"/>
          </w:tcPr>
          <w:p w14:paraId="46C33110" w14:textId="4D6F615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松川</w:t>
            </w:r>
          </w:p>
        </w:tc>
      </w:tr>
      <w:tr w:rsidR="00DC258B" w14:paraId="7F54A1C3" w14:textId="77777777" w:rsidTr="00DC258B">
        <w:tc>
          <w:tcPr>
            <w:tcW w:w="1965" w:type="dxa"/>
            <w:vAlign w:val="center"/>
          </w:tcPr>
          <w:p w14:paraId="69D1D2DC" w14:textId="44F75C9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取り合いの抽出と選択</w:t>
            </w:r>
          </w:p>
        </w:tc>
        <w:tc>
          <w:tcPr>
            <w:tcW w:w="3648" w:type="dxa"/>
            <w:vAlign w:val="center"/>
          </w:tcPr>
          <w:p w14:paraId="319328CD" w14:textId="60A7057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同じ資源を取り合う指示の組の抽出、契約の範囲での求解、学習による改善</w:t>
            </w:r>
          </w:p>
        </w:tc>
        <w:tc>
          <w:tcPr>
            <w:tcW w:w="2339" w:type="dxa"/>
            <w:vAlign w:val="center"/>
          </w:tcPr>
          <w:p w14:paraId="75910302" w14:textId="0289511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95パーセンタイルと制限時間違反の目標達成</w:t>
            </w:r>
          </w:p>
        </w:tc>
        <w:tc>
          <w:tcPr>
            <w:tcW w:w="1403" w:type="dxa"/>
            <w:vAlign w:val="center"/>
          </w:tcPr>
          <w:p w14:paraId="572D48F4" w14:textId="68F8B54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白石、松川</w:t>
            </w:r>
          </w:p>
        </w:tc>
      </w:tr>
      <w:tr w:rsidR="00DC258B" w14:paraId="4B304016" w14:textId="77777777" w:rsidTr="00DC258B">
        <w:tc>
          <w:tcPr>
            <w:tcW w:w="1965" w:type="dxa"/>
            <w:vAlign w:val="center"/>
          </w:tcPr>
          <w:p w14:paraId="6CCEAFF8" w14:textId="28500B9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契約、制約層、復帰</w:t>
            </w:r>
          </w:p>
        </w:tc>
        <w:tc>
          <w:tcPr>
            <w:tcW w:w="3648" w:type="dxa"/>
            <w:vAlign w:val="center"/>
          </w:tcPr>
          <w:p w14:paraId="5041C04B" w14:textId="21D873D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操作権限の契約記述、制約の強制、静的ルールへの復帰</w:t>
            </w:r>
          </w:p>
        </w:tc>
        <w:tc>
          <w:tcPr>
            <w:tcW w:w="2339" w:type="dxa"/>
            <w:vAlign w:val="center"/>
          </w:tcPr>
          <w:p w14:paraId="057AD930" w14:textId="07E0175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全条件で静的ルールを下回らない</w:t>
            </w:r>
          </w:p>
        </w:tc>
        <w:tc>
          <w:tcPr>
            <w:tcW w:w="1403" w:type="dxa"/>
            <w:vAlign w:val="center"/>
          </w:tcPr>
          <w:p w14:paraId="54EAB50B" w14:textId="3AEBDBC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小幡</w:t>
            </w:r>
          </w:p>
        </w:tc>
      </w:tr>
      <w:tr w:rsidR="00DC258B" w14:paraId="7C1A860E" w14:textId="77777777" w:rsidTr="00DC258B">
        <w:tc>
          <w:tcPr>
            <w:tcW w:w="1965" w:type="dxa"/>
            <w:vAlign w:val="center"/>
          </w:tcPr>
          <w:p w14:paraId="151764B6" w14:textId="055AB76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接続部、診断レポート、並走運用</w:t>
            </w:r>
          </w:p>
        </w:tc>
        <w:tc>
          <w:tcPr>
            <w:tcW w:w="3648" w:type="dxa"/>
            <w:vAlign w:val="center"/>
          </w:tcPr>
          <w:p w14:paraId="3D7F4FFE" w14:textId="043AFC6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実ログ形式への接続、予測と実績の照合レポート、命令を出さない並走運用</w:t>
            </w:r>
          </w:p>
        </w:tc>
        <w:tc>
          <w:tcPr>
            <w:tcW w:w="2339" w:type="dxa"/>
            <w:vAlign w:val="center"/>
          </w:tcPr>
          <w:p w14:paraId="582C8DC0" w14:textId="661F2EC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w:t>
            </w:r>
            <w:r w:rsidRPr="00DC258B">
              <w:rPr>
                <w:rFonts w:ascii="IPAexゴシック" w:eastAsia="IPAexゴシック" w:hAnsi="IPAexゴシック"/>
                <w:color w:val="000000"/>
              </w:rPr>
              <w:t>1拠点での診断、並走運用1件</w:t>
            </w:r>
          </w:p>
        </w:tc>
        <w:tc>
          <w:tcPr>
            <w:tcW w:w="1403" w:type="dxa"/>
            <w:vAlign w:val="center"/>
          </w:tcPr>
          <w:p w14:paraId="4046EDB8" w14:textId="555348C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小幡</w:t>
            </w:r>
          </w:p>
        </w:tc>
      </w:tr>
    </w:tbl>
    <w:p w14:paraId="4708FCE2"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69F1DF07" w14:textId="7F060673"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color w:val="000000"/>
        </w:rPr>
        <w:t>3名とも実装を担当する。小幡は本プロジェクトに専従し（月200時間）、全体統合と現場との接続に責任を持つ。松川と白石は大学院の研究と両立し（各月100時間）、同定と制御の中核アルゴリズムと評価基盤を担当する。週1回の全体レビューで、共通のベンチマーク上の数値を確認する。</w:t>
      </w:r>
    </w:p>
    <w:p w14:paraId="1B9CA28D" w14:textId="51A55D7C" w:rsidR="00DC258B" w:rsidRPr="00DC258B" w:rsidRDefault="00DC258B" w:rsidP="00DC258B">
      <w:pPr>
        <w:keepNext/>
        <w:widowControl/>
        <w:spacing w:before="120" w:after="40" w:line="31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開発線表（</w:t>
      </w:r>
      <w:r w:rsidRPr="00DC258B">
        <w:rPr>
          <w:rFonts w:ascii="IPAexゴシック" w:eastAsia="IPAexゴシック" w:hAnsi="IPAexゴシック"/>
          <w:b/>
          <w:color w:val="000000"/>
        </w:rPr>
        <w:t>2027年1月</w:t>
      </w:r>
      <w:r w:rsidRPr="00DC258B">
        <w:rPr>
          <w:rFonts w:ascii="IPAexゴシック" w:eastAsia="IPAexゴシック" w:hAnsi="IPAexゴシック" w:hint="eastAsia"/>
          <w:b/>
          <w:color w:val="000000"/>
        </w:rPr>
        <w:t>〜</w:t>
      </w:r>
      <w:r w:rsidRPr="00DC258B">
        <w:rPr>
          <w:rFonts w:ascii="IPAexゴシック" w:eastAsia="IPAexゴシック" w:hAnsi="IPAexゴシック"/>
          <w:b/>
          <w:color w:val="000000"/>
        </w:rPr>
        <w:t>9月）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310"/>
        <w:gridCol w:w="3368"/>
        <w:gridCol w:w="2432"/>
        <w:gridCol w:w="2245"/>
      </w:tblGrid>
      <w:tr w:rsidR="00DC258B" w14:paraId="67E43DBE" w14:textId="77777777" w:rsidTr="00DC258B">
        <w:trPr>
          <w:tblHeader/>
        </w:trPr>
        <w:tc>
          <w:tcPr>
            <w:tcW w:w="1310" w:type="dxa"/>
            <w:shd w:val="clear" w:color="auto" w:fill="D9D9D9"/>
            <w:vAlign w:val="center"/>
          </w:tcPr>
          <w:p w14:paraId="06C915C9" w14:textId="3A1ABB25"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期間</w:t>
            </w:r>
          </w:p>
        </w:tc>
        <w:tc>
          <w:tcPr>
            <w:tcW w:w="3368" w:type="dxa"/>
            <w:shd w:val="clear" w:color="auto" w:fill="D9D9D9"/>
            <w:vAlign w:val="center"/>
          </w:tcPr>
          <w:p w14:paraId="6B5576CA" w14:textId="2E8A52B5"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開発内容</w:t>
            </w:r>
          </w:p>
        </w:tc>
        <w:tc>
          <w:tcPr>
            <w:tcW w:w="2432" w:type="dxa"/>
            <w:shd w:val="clear" w:color="auto" w:fill="D9D9D9"/>
            <w:vAlign w:val="center"/>
          </w:tcPr>
          <w:p w14:paraId="48BB1B1E" w14:textId="0B93C28C"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マイルストーン</w:t>
            </w:r>
          </w:p>
        </w:tc>
        <w:tc>
          <w:tcPr>
            <w:tcW w:w="2245" w:type="dxa"/>
            <w:shd w:val="clear" w:color="auto" w:fill="D9D9D9"/>
            <w:vAlign w:val="center"/>
          </w:tcPr>
          <w:p w14:paraId="4D0C31ED" w14:textId="3E9B31B4"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現場での検証</w:t>
            </w:r>
          </w:p>
        </w:tc>
      </w:tr>
      <w:tr w:rsidR="00DC258B" w14:paraId="36838EDC" w14:textId="77777777" w:rsidTr="00DC258B">
        <w:tc>
          <w:tcPr>
            <w:tcW w:w="1310" w:type="dxa"/>
            <w:vAlign w:val="center"/>
          </w:tcPr>
          <w:p w14:paraId="3A218A66" w14:textId="29DD5EA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2か月目</w:t>
            </w:r>
          </w:p>
        </w:tc>
        <w:tc>
          <w:tcPr>
            <w:tcW w:w="3368" w:type="dxa"/>
            <w:vAlign w:val="center"/>
          </w:tcPr>
          <w:p w14:paraId="33C745DE" w14:textId="5F021FE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評価基盤、静的ルールの基準値、観測のみの同定器、契約</w:t>
            </w:r>
            <w:r w:rsidRPr="00DC258B">
              <w:rPr>
                <w:rFonts w:ascii="IPAexゴシック" w:eastAsia="IPAexゴシック" w:hAnsi="IPAexゴシック"/>
                <w:color w:val="000000"/>
              </w:rPr>
              <w:t>v0</w:t>
            </w:r>
          </w:p>
        </w:tc>
        <w:tc>
          <w:tcPr>
            <w:tcW w:w="2432" w:type="dxa"/>
            <w:vAlign w:val="center"/>
          </w:tcPr>
          <w:p w14:paraId="7ED0352E" w14:textId="75C475D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診断</w:t>
            </w:r>
            <w:r w:rsidRPr="00DC258B">
              <w:rPr>
                <w:rFonts w:ascii="IPAexゴシック" w:eastAsia="IPAexゴシック" w:hAnsi="IPAexゴシック"/>
                <w:color w:val="000000"/>
              </w:rPr>
              <w:t>v0（予測と真値の照合）</w:t>
            </w:r>
          </w:p>
        </w:tc>
        <w:tc>
          <w:tcPr>
            <w:tcW w:w="2245" w:type="dxa"/>
            <w:vAlign w:val="center"/>
          </w:tcPr>
          <w:p w14:paraId="14951642" w14:textId="0CE9E75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協力先とログ形式、評価指標を文書合意</w:t>
            </w:r>
          </w:p>
        </w:tc>
      </w:tr>
      <w:tr w:rsidR="00DC258B" w14:paraId="0AE5EB86" w14:textId="77777777" w:rsidTr="00DC258B">
        <w:tc>
          <w:tcPr>
            <w:tcW w:w="1310" w:type="dxa"/>
            <w:vAlign w:val="center"/>
          </w:tcPr>
          <w:p w14:paraId="700C6031" w14:textId="76EF588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3</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5か月目</w:t>
            </w:r>
          </w:p>
        </w:tc>
        <w:tc>
          <w:tcPr>
            <w:tcW w:w="3368" w:type="dxa"/>
            <w:vAlign w:val="center"/>
          </w:tcPr>
          <w:p w14:paraId="25D32293" w14:textId="57243DF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オンライン同定、取り合いの抽出と選択、制約層</w:t>
            </w:r>
          </w:p>
        </w:tc>
        <w:tc>
          <w:tcPr>
            <w:tcW w:w="2432" w:type="dxa"/>
            <w:vAlign w:val="center"/>
          </w:tcPr>
          <w:p w14:paraId="2FE23519" w14:textId="0B72327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制御</w:t>
            </w:r>
            <w:r w:rsidRPr="00DC258B">
              <w:rPr>
                <w:rFonts w:ascii="IPAexゴシック" w:eastAsia="IPAexゴシック" w:hAnsi="IPAexゴシック"/>
                <w:color w:val="000000"/>
              </w:rPr>
              <w:t>v1（シミュレーションで目標値を検証）</w:t>
            </w:r>
          </w:p>
        </w:tc>
        <w:tc>
          <w:tcPr>
            <w:tcW w:w="2245" w:type="dxa"/>
            <w:vAlign w:val="center"/>
          </w:tcPr>
          <w:p w14:paraId="141BD5CE" w14:textId="3706149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実ログでの診断レポートを現場と突き合わせる</w:t>
            </w:r>
          </w:p>
        </w:tc>
      </w:tr>
      <w:tr w:rsidR="00DC258B" w14:paraId="19C1C7CD" w14:textId="77777777" w:rsidTr="00DC258B">
        <w:tc>
          <w:tcPr>
            <w:tcW w:w="1310" w:type="dxa"/>
            <w:vAlign w:val="center"/>
          </w:tcPr>
          <w:p w14:paraId="3189232F" w14:textId="3D1E1560"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6</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8か月目</w:t>
            </w:r>
          </w:p>
        </w:tc>
        <w:tc>
          <w:tcPr>
            <w:tcW w:w="3368" w:type="dxa"/>
            <w:vAlign w:val="center"/>
          </w:tcPr>
          <w:p w14:paraId="7517A20E" w14:textId="4626CAD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接続部、並走運用、構成変更への適応、公開ベンチマーク</w:t>
            </w:r>
          </w:p>
        </w:tc>
        <w:tc>
          <w:tcPr>
            <w:tcW w:w="2432" w:type="dxa"/>
            <w:vAlign w:val="center"/>
          </w:tcPr>
          <w:p w14:paraId="26B0E714" w14:textId="0D41801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現場で並走する</w:t>
            </w:r>
            <w:r w:rsidRPr="00DC258B">
              <w:rPr>
                <w:rFonts w:ascii="IPAexゴシック" w:eastAsia="IPAexゴシック" w:hAnsi="IPAexゴシック"/>
                <w:color w:val="000000"/>
              </w:rPr>
              <w:t>v2</w:t>
            </w:r>
          </w:p>
        </w:tc>
        <w:tc>
          <w:tcPr>
            <w:tcW w:w="2245" w:type="dxa"/>
            <w:vAlign w:val="center"/>
          </w:tcPr>
          <w:p w14:paraId="6B9DA4A2" w14:textId="24DC951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並走運用での予測精度、限定区画での制御の条件交渉</w:t>
            </w:r>
          </w:p>
        </w:tc>
      </w:tr>
    </w:tbl>
    <w:p w14:paraId="31B504ED"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3EE1BF00" w14:textId="75693831"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克服すべき課題とその解決策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806"/>
        <w:gridCol w:w="3274"/>
        <w:gridCol w:w="3274"/>
      </w:tblGrid>
      <w:tr w:rsidR="00DC258B" w14:paraId="6CE22C2E" w14:textId="77777777" w:rsidTr="00DC258B">
        <w:trPr>
          <w:tblHeader/>
        </w:trPr>
        <w:tc>
          <w:tcPr>
            <w:tcW w:w="2806" w:type="dxa"/>
            <w:shd w:val="clear" w:color="auto" w:fill="D9D9D9"/>
            <w:vAlign w:val="center"/>
          </w:tcPr>
          <w:p w14:paraId="45351FAA" w14:textId="0A12EBED"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課題</w:t>
            </w:r>
          </w:p>
        </w:tc>
        <w:tc>
          <w:tcPr>
            <w:tcW w:w="3274" w:type="dxa"/>
            <w:shd w:val="clear" w:color="auto" w:fill="D9D9D9"/>
            <w:vAlign w:val="center"/>
          </w:tcPr>
          <w:p w14:paraId="220CA2D0" w14:textId="12F18AE3"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解決策</w:t>
            </w:r>
          </w:p>
        </w:tc>
        <w:tc>
          <w:tcPr>
            <w:tcW w:w="3274" w:type="dxa"/>
            <w:shd w:val="clear" w:color="auto" w:fill="D9D9D9"/>
            <w:vAlign w:val="center"/>
          </w:tcPr>
          <w:p w14:paraId="59CEC82C" w14:textId="5769EB3F"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期限と縮小先</w:t>
            </w:r>
          </w:p>
        </w:tc>
      </w:tr>
      <w:tr w:rsidR="00DC258B" w14:paraId="2F63D041" w14:textId="77777777" w:rsidTr="00DC258B">
        <w:tc>
          <w:tcPr>
            <w:tcW w:w="2806" w:type="dxa"/>
            <w:vAlign w:val="center"/>
          </w:tcPr>
          <w:p w14:paraId="3BC5C5A4" w14:textId="1572C65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イベント時刻だけでは混み具合を推定しきれない</w:t>
            </w:r>
          </w:p>
        </w:tc>
        <w:tc>
          <w:tcPr>
            <w:tcW w:w="3274" w:type="dxa"/>
            <w:vAlign w:val="center"/>
          </w:tcPr>
          <w:p w14:paraId="2D3BF1D5" w14:textId="6F3024D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中継点の出入りなど観測できる地点を増やし、推定対象を区画単位に粗くする</w:t>
            </w:r>
          </w:p>
        </w:tc>
        <w:tc>
          <w:tcPr>
            <w:tcW w:w="3274" w:type="dxa"/>
            <w:vAlign w:val="center"/>
          </w:tcPr>
          <w:p w14:paraId="6FB93644" w14:textId="2502242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2か月目。駄目なら大きな遅れの検知に目的を絞る</w:t>
            </w:r>
          </w:p>
        </w:tc>
      </w:tr>
      <w:tr w:rsidR="00DC258B" w14:paraId="04AB06F4" w14:textId="77777777" w:rsidTr="00DC258B">
        <w:tc>
          <w:tcPr>
            <w:tcW w:w="2806" w:type="dxa"/>
            <w:vAlign w:val="center"/>
          </w:tcPr>
          <w:p w14:paraId="233929B4" w14:textId="5E3189C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上位に許された操作だけでは改善幅が小さい</w:t>
            </w:r>
          </w:p>
        </w:tc>
        <w:tc>
          <w:tcPr>
            <w:tcW w:w="3274" w:type="dxa"/>
            <w:vAlign w:val="center"/>
          </w:tcPr>
          <w:p w14:paraId="63019AEE" w14:textId="2D7EF46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効果が大きい操作（投入タイミング、中継点の選択）を特定し、制限時間つきロットに集中する</w:t>
            </w:r>
          </w:p>
        </w:tc>
        <w:tc>
          <w:tcPr>
            <w:tcW w:w="3274" w:type="dxa"/>
            <w:vAlign w:val="center"/>
          </w:tcPr>
          <w:p w14:paraId="4FA193AC" w14:textId="7A71EE5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4か月目。駄目なら診断を主成果とし、制御は物流倉庫で実証する</w:t>
            </w:r>
          </w:p>
        </w:tc>
      </w:tr>
      <w:tr w:rsidR="00DC258B" w14:paraId="7AA3799C" w14:textId="77777777" w:rsidTr="00DC258B">
        <w:tc>
          <w:tcPr>
            <w:tcW w:w="2806" w:type="dxa"/>
            <w:vAlign w:val="center"/>
          </w:tcPr>
          <w:p w14:paraId="30366D79" w14:textId="7FD1C69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実ログが得られない</w:t>
            </w:r>
          </w:p>
        </w:tc>
        <w:tc>
          <w:tcPr>
            <w:tcW w:w="3274" w:type="dxa"/>
            <w:vAlign w:val="center"/>
          </w:tcPr>
          <w:p w14:paraId="33128297" w14:textId="2DBD5FA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協力先を早期に複数あたり、秘密保持と匿名化の手順を先に用意する</w:t>
            </w:r>
          </w:p>
        </w:tc>
        <w:tc>
          <w:tcPr>
            <w:tcW w:w="3274" w:type="dxa"/>
            <w:vAlign w:val="center"/>
          </w:tcPr>
          <w:p w14:paraId="6828A735" w14:textId="550B9C27"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5か月目。駄目なら公開ベンチマークと第三者の再現評価を証拠とする</w:t>
            </w:r>
          </w:p>
        </w:tc>
      </w:tr>
      <w:tr w:rsidR="00DC258B" w14:paraId="391C3465" w14:textId="77777777" w:rsidTr="00DC258B">
        <w:tc>
          <w:tcPr>
            <w:tcW w:w="2806" w:type="dxa"/>
            <w:vAlign w:val="center"/>
          </w:tcPr>
          <w:p w14:paraId="6C7D624F" w14:textId="3972622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半導体の実務経験がない</w:t>
            </w:r>
          </w:p>
        </w:tc>
        <w:tc>
          <w:tcPr>
            <w:tcW w:w="3274" w:type="dxa"/>
            <w:vAlign w:val="center"/>
          </w:tcPr>
          <w:p w14:paraId="21316EA8" w14:textId="742B5D4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製造ソフトウェア企業等の協力を得て、用語、運用、評価指標を確認する</w:t>
            </w:r>
          </w:p>
        </w:tc>
        <w:tc>
          <w:tcPr>
            <w:tcW w:w="3274" w:type="dxa"/>
            <w:vAlign w:val="center"/>
          </w:tcPr>
          <w:p w14:paraId="006EE38C" w14:textId="3EA6966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期間を通じて</w:t>
            </w:r>
          </w:p>
        </w:tc>
      </w:tr>
    </w:tbl>
    <w:p w14:paraId="19BB6777"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685421A0" w14:textId="7E9AD4B5"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開発環境</w:t>
      </w:r>
    </w:p>
    <w:p w14:paraId="4EB2A857" w14:textId="36F0F290" w:rsidR="00DC258B" w:rsidRPr="00DC258B" w:rsidRDefault="00DC258B" w:rsidP="00DC258B">
      <w:pPr>
        <w:widowControl/>
        <w:spacing w:before="60" w:after="60" w:line="310" w:lineRule="exact"/>
        <w:ind w:left="210" w:right="210"/>
        <w:rPr>
          <w:rFonts w:ascii="IPAexゴシック" w:eastAsia="IPAexゴシック" w:hAnsi="IPAexゴシック"/>
          <w:i/>
          <w:color w:val="000000"/>
        </w:rPr>
      </w:pPr>
      <w:r w:rsidRPr="00DC258B">
        <w:rPr>
          <w:rFonts w:ascii="IPAexゴシック" w:eastAsia="IPAexゴシック" w:hAnsi="IPAexゴシック"/>
          <w:i/>
          <w:color w:val="000000"/>
        </w:rPr>
        <w:t>[要記入:全員] 開発場所、計算資源、言語と主要ツール（Python、離散事象シミュレーション、機械学習ライブラリ等）、リポジトリの管理方法。</w:t>
      </w:r>
    </w:p>
    <w:p w14:paraId="26FFDEFF" w14:textId="411AA817"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④開発者の実力・能力を示す実績（スキル・経験・受賞歴等）及びそれに基づくプロジェクトの実現性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497"/>
        <w:gridCol w:w="4116"/>
        <w:gridCol w:w="3742"/>
      </w:tblGrid>
      <w:tr w:rsidR="00DC258B" w14:paraId="3AAFCCBB" w14:textId="77777777" w:rsidTr="00DC258B">
        <w:trPr>
          <w:tblHeader/>
        </w:trPr>
        <w:tc>
          <w:tcPr>
            <w:tcW w:w="1497" w:type="dxa"/>
            <w:shd w:val="clear" w:color="auto" w:fill="D9D9D9"/>
            <w:vAlign w:val="center"/>
          </w:tcPr>
          <w:p w14:paraId="7183DC80" w14:textId="5A3B0CFF"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開発者</w:t>
            </w:r>
          </w:p>
        </w:tc>
        <w:tc>
          <w:tcPr>
            <w:tcW w:w="4116" w:type="dxa"/>
            <w:shd w:val="clear" w:color="auto" w:fill="D9D9D9"/>
            <w:vAlign w:val="center"/>
          </w:tcPr>
          <w:p w14:paraId="6AAF1A40" w14:textId="78D94CBC"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スキル・経験・受賞歴（</w:t>
            </w:r>
            <w:r w:rsidRPr="00DC258B">
              <w:rPr>
                <w:rFonts w:ascii="IPAexゴシック" w:eastAsia="IPAexゴシック" w:hAnsi="IPAexゴシック"/>
                <w:b/>
                <w:color w:val="000000"/>
              </w:rPr>
              <w:t>URL）</w:t>
            </w:r>
          </w:p>
        </w:tc>
        <w:tc>
          <w:tcPr>
            <w:tcW w:w="3742" w:type="dxa"/>
            <w:shd w:val="clear" w:color="auto" w:fill="D9D9D9"/>
            <w:vAlign w:val="center"/>
          </w:tcPr>
          <w:p w14:paraId="5A8EFDE9" w14:textId="4361BDC9"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本件で担当し自作するもの</w:t>
            </w:r>
          </w:p>
        </w:tc>
      </w:tr>
      <w:tr w:rsidR="00DC258B" w14:paraId="120CA5CE" w14:textId="77777777" w:rsidTr="00DC258B">
        <w:tc>
          <w:tcPr>
            <w:tcW w:w="1497" w:type="dxa"/>
            <w:vAlign w:val="center"/>
          </w:tcPr>
          <w:p w14:paraId="054DE9CB" w14:textId="17BA9AA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小幡有生</w:t>
            </w:r>
          </w:p>
        </w:tc>
        <w:tc>
          <w:tcPr>
            <w:tcW w:w="4116" w:type="dxa"/>
            <w:vAlign w:val="center"/>
          </w:tcPr>
          <w:p w14:paraId="190ECBA4" w14:textId="6CCC530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[要記入:小幡] 東京大学大学院工学系研究科電気系工学専攻（休学中）。音声AI領域の企業を創業し、実運用される低遅延の音声対話システムを開発、顧客環境へ導入（退任済み）。製品、コード、発表のURL</w:t>
            </w:r>
          </w:p>
        </w:tc>
        <w:tc>
          <w:tcPr>
            <w:tcW w:w="3742" w:type="dxa"/>
            <w:vAlign w:val="center"/>
          </w:tcPr>
          <w:p w14:paraId="67A72393" w14:textId="7599591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契約・制約層、接続部、診断レポート、並走運用、全体統合、協力先との調整</w:t>
            </w:r>
          </w:p>
        </w:tc>
      </w:tr>
      <w:tr w:rsidR="00DC258B" w14:paraId="1455D11B" w14:textId="77777777" w:rsidTr="00DC258B">
        <w:tc>
          <w:tcPr>
            <w:tcW w:w="1497" w:type="dxa"/>
            <w:vAlign w:val="center"/>
          </w:tcPr>
          <w:p w14:paraId="0A419CCA" w14:textId="16FC318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松川直生</w:t>
            </w:r>
          </w:p>
        </w:tc>
        <w:tc>
          <w:tcPr>
            <w:tcW w:w="4116" w:type="dxa"/>
            <w:vAlign w:val="center"/>
          </w:tcPr>
          <w:p w14:paraId="1228B9C4" w14:textId="640413D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[要記入:松川] 所属、研究テーマ、論文、コード、受賞のURL</w:t>
            </w:r>
          </w:p>
        </w:tc>
        <w:tc>
          <w:tcPr>
            <w:tcW w:w="3742" w:type="dxa"/>
            <w:vAlign w:val="center"/>
          </w:tcPr>
          <w:p w14:paraId="3F6B5983" w14:textId="0B79906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応答同定と予測、選択の学習</w:t>
            </w:r>
          </w:p>
        </w:tc>
      </w:tr>
      <w:tr w:rsidR="00DC258B" w14:paraId="11A74CD4" w14:textId="77777777" w:rsidTr="00DC258B">
        <w:tc>
          <w:tcPr>
            <w:tcW w:w="1497" w:type="dxa"/>
            <w:vAlign w:val="center"/>
          </w:tcPr>
          <w:p w14:paraId="3B43BC78" w14:textId="51A641F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白石雄太郎</w:t>
            </w:r>
          </w:p>
        </w:tc>
        <w:tc>
          <w:tcPr>
            <w:tcW w:w="4116" w:type="dxa"/>
            <w:vAlign w:val="center"/>
          </w:tcPr>
          <w:p w14:paraId="30A22242" w14:textId="723EA767"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[要記入:白石] 所属、研究テーマ、論文、コード、受賞のURL</w:t>
            </w:r>
          </w:p>
        </w:tc>
        <w:tc>
          <w:tcPr>
            <w:tcW w:w="3742" w:type="dxa"/>
            <w:vAlign w:val="center"/>
          </w:tcPr>
          <w:p w14:paraId="57090F93" w14:textId="68A91D77"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評価基盤、取り合いの抽出と選択、ベンチマーク公開</w:t>
            </w:r>
          </w:p>
        </w:tc>
      </w:tr>
    </w:tbl>
    <w:p w14:paraId="7EBC79A7"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31596E6E" w14:textId="4EEE4A4D"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プロジェクトの実現性</w:t>
      </w:r>
    </w:p>
    <w:p w14:paraId="2E572405" w14:textId="04EED8AF" w:rsidR="00DC258B" w:rsidRPr="00DC258B" w:rsidRDefault="00DC258B" w:rsidP="00DC258B">
      <w:pPr>
        <w:widowControl/>
        <w:numPr>
          <w:ilvl w:val="0"/>
          <w:numId w:val="10"/>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中核の技術課題（部分観測下の推定、オンライン学習、制約つきの選択）は、松川と白石の研究領域と重なる。</w:t>
      </w:r>
      <w:r w:rsidRPr="00DC258B">
        <w:rPr>
          <w:rFonts w:ascii="IPAexゴシック" w:eastAsia="IPAexゴシック" w:hAnsi="IPAexゴシック"/>
          <w:color w:val="000000"/>
        </w:rPr>
        <w:t>[要記入:松川・白石] 根拠となる実績を1文ずつ。</w:t>
      </w:r>
    </w:p>
    <w:p w14:paraId="1E90FC2E" w14:textId="20E31976" w:rsidR="00DC258B" w:rsidRPr="00DC258B" w:rsidRDefault="00DC258B" w:rsidP="00DC258B">
      <w:pPr>
        <w:widowControl/>
        <w:numPr>
          <w:ilvl w:val="0"/>
          <w:numId w:val="10"/>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止められない現場への段階導入、低遅延の実運用系、顧客との調整は、小幡の事業経験と重なる。</w:t>
      </w:r>
      <w:r w:rsidRPr="00DC258B">
        <w:rPr>
          <w:rFonts w:ascii="IPAexゴシック" w:eastAsia="IPAexゴシック" w:hAnsi="IPAexゴシック"/>
          <w:color w:val="000000"/>
        </w:rPr>
        <w:t>[要記入:小幡] 根拠となる実績を1文。</w:t>
      </w:r>
    </w:p>
    <w:p w14:paraId="1C8424D9" w14:textId="7086AF1C" w:rsidR="00DC258B" w:rsidRPr="00DC258B" w:rsidRDefault="00DC258B" w:rsidP="00DC258B">
      <w:pPr>
        <w:widowControl/>
        <w:numPr>
          <w:ilvl w:val="0"/>
          <w:numId w:val="10"/>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color w:val="000000"/>
        </w:rPr>
        <w:t>3名は高校の同級生で、[要記入:全員] 共同で開発した経験があれば記載する。</w:t>
      </w:r>
    </w:p>
    <w:p w14:paraId="56AD71B9" w14:textId="59D16529" w:rsidR="00DC258B" w:rsidRPr="00DC258B" w:rsidRDefault="00DC258B" w:rsidP="00DC258B">
      <w:pPr>
        <w:widowControl/>
        <w:numPr>
          <w:ilvl w:val="0"/>
          <w:numId w:val="10"/>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不足しているのは半導体搬送の実務経験である。これは協力先からの聞き取りで補い、期間の前半はシミュレーションと実ログの分析に集中して、現場の制御に触れる前に予測の正しさを示す計画としている。</w:t>
      </w:r>
    </w:p>
    <w:p w14:paraId="3A8033AF" w14:textId="45DA1D97" w:rsidR="00DC258B" w:rsidRPr="00DC258B" w:rsidRDefault="00DC258B" w:rsidP="00DC258B">
      <w:pPr>
        <w:widowControl/>
        <w:numPr>
          <w:ilvl w:val="0"/>
          <w:numId w:val="10"/>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未踏事業の採択歴：</w:t>
      </w:r>
      <w:r w:rsidRPr="00DC258B">
        <w:rPr>
          <w:rFonts w:ascii="IPAexゴシック" w:eastAsia="IPAexゴシック" w:hAnsi="IPAexゴシック"/>
          <w:color w:val="000000"/>
        </w:rPr>
        <w:t>[要記入:全員] なければ「なし」。</w:t>
      </w:r>
    </w:p>
    <w:p w14:paraId="3DD934F3" w14:textId="01D04AEA"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本プロジェクトを始めた動機</w:t>
      </w:r>
    </w:p>
    <w:p w14:paraId="7D9DBF1F" w14:textId="796E78DB" w:rsidR="00DC258B" w:rsidRPr="00DC258B" w:rsidRDefault="00DC258B" w:rsidP="00DC258B">
      <w:pPr>
        <w:widowControl/>
        <w:spacing w:before="60" w:after="60" w:line="310" w:lineRule="exact"/>
        <w:ind w:left="210" w:right="210"/>
        <w:rPr>
          <w:rFonts w:ascii="IPAexゴシック" w:eastAsia="IPAexゴシック" w:hAnsi="IPAexゴシック"/>
          <w:i/>
          <w:color w:val="000000"/>
        </w:rPr>
      </w:pPr>
      <w:r w:rsidRPr="00DC258B">
        <w:rPr>
          <w:rFonts w:ascii="IPAexゴシック" w:eastAsia="IPAexゴシック" w:hAnsi="IPAexゴシック"/>
          <w:i/>
          <w:color w:val="000000"/>
        </w:rPr>
        <w:t>[要記入:小幡] なぜこの問題に取り組むのかを、現場で見聞きした具体的な場面から3</w:t>
      </w:r>
      <w:r w:rsidRPr="00DC258B">
        <w:rPr>
          <w:rFonts w:ascii="IPAexゴシック" w:eastAsia="IPAexゴシック" w:hAnsi="IPAexゴシック" w:hint="eastAsia"/>
          <w:i/>
          <w:color w:val="000000"/>
        </w:rPr>
        <w:t>〜</w:t>
      </w:r>
      <w:r w:rsidRPr="00DC258B">
        <w:rPr>
          <w:rFonts w:ascii="IPAexゴシック" w:eastAsia="IPAexゴシック" w:hAnsi="IPAexゴシック"/>
          <w:i/>
          <w:color w:val="000000"/>
        </w:rPr>
        <w:t>5文で記載する。</w:t>
      </w:r>
    </w:p>
    <w:p w14:paraId="3531FAB6" w14:textId="596BDB40"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⑤事業化・社会実装の新規性・優位性、想定するターゲットと規模</w:t>
      </w:r>
    </w:p>
    <w:p w14:paraId="06AB125F" w14:textId="6BEC6FF2"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対象とする市場とユーザ</w:t>
      </w:r>
    </w:p>
    <w:p w14:paraId="6477B02B" w14:textId="5EAE4A5F" w:rsidR="00DC258B" w:rsidRPr="00DC258B" w:rsidRDefault="00DC258B" w:rsidP="00DC258B">
      <w:pPr>
        <w:widowControl/>
        <w:numPr>
          <w:ilvl w:val="0"/>
          <w:numId w:val="11"/>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利用者：工場の搬送運用担当、生産技術部門</w:t>
      </w:r>
    </w:p>
    <w:p w14:paraId="324DAAC4" w14:textId="41D0405A" w:rsidR="00DC258B" w:rsidRPr="00DC258B" w:rsidRDefault="00DC258B" w:rsidP="00DC258B">
      <w:pPr>
        <w:widowControl/>
        <w:numPr>
          <w:ilvl w:val="0"/>
          <w:numId w:val="11"/>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支払者：</w:t>
      </w:r>
      <w:r w:rsidRPr="00DC258B">
        <w:rPr>
          <w:rFonts w:ascii="IPAexゴシック" w:eastAsia="IPAexゴシック" w:hAnsi="IPAexゴシック"/>
          <w:color w:val="000000"/>
        </w:rPr>
        <w:t>[要記入:小幡 聞き取りで分かった予算保有者] 工場の生産技術・設備部門、または上位ソフトの置き換えを請け負う製造ソフトウェア企業</w:t>
      </w:r>
    </w:p>
    <w:p w14:paraId="08587606" w14:textId="37449ACC" w:rsidR="00DC258B" w:rsidRPr="00DC258B" w:rsidRDefault="00DC258B" w:rsidP="00DC258B">
      <w:pPr>
        <w:widowControl/>
        <w:numPr>
          <w:ilvl w:val="0"/>
          <w:numId w:val="11"/>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最初の対象：上位ソフトの保守切れや世代混在を抱える既存の半導体工場（</w:t>
      </w:r>
      <w:r w:rsidRPr="00DC258B">
        <w:rPr>
          <w:rFonts w:ascii="IPAexゴシック" w:eastAsia="IPAexゴシック" w:hAnsi="IPAexゴシック"/>
          <w:color w:val="000000"/>
        </w:rPr>
        <w:t>200mm工場、後工程）。新設の先端工場は搬送一式をメーカーが一括で納めるため、最初の対象にしない</w:t>
      </w:r>
    </w:p>
    <w:p w14:paraId="58885191" w14:textId="19961103" w:rsidR="00DC258B" w:rsidRPr="00DC258B" w:rsidRDefault="00DC258B" w:rsidP="00DC258B">
      <w:pPr>
        <w:widowControl/>
        <w:numPr>
          <w:ilvl w:val="0"/>
          <w:numId w:val="11"/>
        </w:numPr>
        <w:spacing w:after="30" w:line="30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現在の代替手段：静的なルールの手調整、搬送車やストッカの買い足し、人手による割り込み。</w:t>
      </w:r>
      <w:r w:rsidRPr="00DC258B">
        <w:rPr>
          <w:rFonts w:ascii="IPAexゴシック" w:eastAsia="IPAexゴシック" w:hAnsi="IPAexゴシック"/>
          <w:color w:val="000000"/>
        </w:rPr>
        <w:t>[要記入:小幡] その費用</w:t>
      </w:r>
    </w:p>
    <w:p w14:paraId="75B69346" w14:textId="67455C2B"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ニーズの大きさ</w:t>
      </w:r>
    </w:p>
    <w:p w14:paraId="4152A59C" w14:textId="053CCACD"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市場調査の総額は使わず、対象工場数</w:t>
      </w:r>
      <w:r w:rsidRPr="00DC258B">
        <w:rPr>
          <w:rFonts w:ascii="IPAexゴシック" w:eastAsia="IPAexゴシック" w:hAnsi="IPAexゴシック"/>
          <w:color w:val="000000"/>
        </w:rPr>
        <w:t xml:space="preserve"> × 1工場あたりの年額で積み上げる。[要記入:小幡] 国内外の対象工場数の概数と、聞き取りで得た「搬送の遅れがもたらす損失」または「買い足しの費用」から年額を置く。追い風として、200mm工場の生産能力は2026年に過去最高となる見込みで（SEMI予測）、国内では後工程の自動化と標準化が国の支援で進んでいる。展開先の物流では、政府が倉庫自動化の導入率を2025年度12%から2030年度20%へ引き上げる目標を置き、物流ロボットの国内市場は2024年度404億円から2030年度1,238億円へ拡大すると予測されている（矢野経済研究所）。</w:t>
      </w:r>
    </w:p>
    <w:p w14:paraId="1DD5AA8D" w14:textId="28FC93EE"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競合・類似との比較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245"/>
        <w:gridCol w:w="2432"/>
        <w:gridCol w:w="2339"/>
        <w:gridCol w:w="2339"/>
      </w:tblGrid>
      <w:tr w:rsidR="00DC258B" w14:paraId="5B406068" w14:textId="77777777" w:rsidTr="00DC258B">
        <w:trPr>
          <w:tblHeader/>
        </w:trPr>
        <w:tc>
          <w:tcPr>
            <w:tcW w:w="2245" w:type="dxa"/>
            <w:shd w:val="clear" w:color="auto" w:fill="D9D9D9"/>
            <w:vAlign w:val="center"/>
          </w:tcPr>
          <w:p w14:paraId="57B21923" w14:textId="4F9F8EC8"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比較対象</w:t>
            </w:r>
          </w:p>
        </w:tc>
        <w:tc>
          <w:tcPr>
            <w:tcW w:w="2432" w:type="dxa"/>
            <w:shd w:val="clear" w:color="auto" w:fill="D9D9D9"/>
            <w:vAlign w:val="center"/>
          </w:tcPr>
          <w:p w14:paraId="667B33D9" w14:textId="37356EA4"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やっていること</w:t>
            </w:r>
          </w:p>
        </w:tc>
        <w:tc>
          <w:tcPr>
            <w:tcW w:w="2339" w:type="dxa"/>
            <w:shd w:val="clear" w:color="auto" w:fill="D9D9D9"/>
            <w:vAlign w:val="center"/>
          </w:tcPr>
          <w:p w14:paraId="1F80E766" w14:textId="17E25735"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既設の内部が見えない場合</w:t>
            </w:r>
          </w:p>
        </w:tc>
        <w:tc>
          <w:tcPr>
            <w:tcW w:w="2339" w:type="dxa"/>
            <w:shd w:val="clear" w:color="auto" w:fill="D9D9D9"/>
            <w:vAlign w:val="center"/>
          </w:tcPr>
          <w:p w14:paraId="2F39E62F" w14:textId="6138469F"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本提案との関係</w:t>
            </w:r>
          </w:p>
        </w:tc>
      </w:tr>
      <w:tr w:rsidR="00DC258B" w14:paraId="56CE81B1" w14:textId="77777777" w:rsidTr="00DC258B">
        <w:tc>
          <w:tcPr>
            <w:tcW w:w="2245" w:type="dxa"/>
            <w:vAlign w:val="center"/>
          </w:tcPr>
          <w:p w14:paraId="4FBF4C9F" w14:textId="46FA2EB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搬送車メーカーの制御と上位システム</w:t>
            </w:r>
          </w:p>
        </w:tc>
        <w:tc>
          <w:tcPr>
            <w:tcW w:w="2432" w:type="dxa"/>
            <w:vAlign w:val="center"/>
          </w:tcPr>
          <w:p w14:paraId="78EB5D9A" w14:textId="06DEB3A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自社車両群の内側からの最適化</w:t>
            </w:r>
          </w:p>
        </w:tc>
        <w:tc>
          <w:tcPr>
            <w:tcW w:w="2339" w:type="dxa"/>
            <w:vAlign w:val="center"/>
          </w:tcPr>
          <w:p w14:paraId="7872E816" w14:textId="289E64E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対象外（自社製品が前提）</w:t>
            </w:r>
          </w:p>
        </w:tc>
        <w:tc>
          <w:tcPr>
            <w:tcW w:w="2339" w:type="dxa"/>
            <w:vAlign w:val="center"/>
          </w:tcPr>
          <w:p w14:paraId="6B3E79AB" w14:textId="5F91F950"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置き換えない。その上で動く</w:t>
            </w:r>
          </w:p>
        </w:tc>
      </w:tr>
      <w:tr w:rsidR="00DC258B" w14:paraId="6FA784E0" w14:textId="77777777" w:rsidTr="00DC258B">
        <w:tc>
          <w:tcPr>
            <w:tcW w:w="2245" w:type="dxa"/>
            <w:vAlign w:val="center"/>
          </w:tcPr>
          <w:p w14:paraId="4B5244C8" w14:textId="7E16548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製造装置大手の搬送管理システム</w:t>
            </w:r>
          </w:p>
        </w:tc>
        <w:tc>
          <w:tcPr>
            <w:tcW w:w="2432" w:type="dxa"/>
            <w:vAlign w:val="center"/>
          </w:tcPr>
          <w:p w14:paraId="2E25928F" w14:textId="795A41B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複数メーカーの搬送装置を束ねる上位。導入</w:t>
            </w:r>
            <w:r w:rsidRPr="00DC258B">
              <w:rPr>
                <w:rFonts w:ascii="IPAexゴシック" w:eastAsia="IPAexゴシック" w:hAnsi="IPAexゴシック"/>
                <w:color w:val="000000"/>
              </w:rPr>
              <w:t>250件超</w:t>
            </w:r>
          </w:p>
        </w:tc>
        <w:tc>
          <w:tcPr>
            <w:tcW w:w="2339" w:type="dxa"/>
            <w:vAlign w:val="center"/>
          </w:tcPr>
          <w:p w14:paraId="727452FC" w14:textId="1699164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静的なルールが中心</w:t>
            </w:r>
          </w:p>
        </w:tc>
        <w:tc>
          <w:tcPr>
            <w:tcW w:w="2339" w:type="dxa"/>
            <w:vAlign w:val="center"/>
          </w:tcPr>
          <w:p w14:paraId="73A081FC" w14:textId="09F9609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置き換えない。部品として組み込める</w:t>
            </w:r>
          </w:p>
        </w:tc>
      </w:tr>
      <w:tr w:rsidR="00DC258B" w14:paraId="2D6CB522" w14:textId="77777777" w:rsidTr="00DC258B">
        <w:tc>
          <w:tcPr>
            <w:tcW w:w="2245" w:type="dxa"/>
            <w:vAlign w:val="center"/>
          </w:tcPr>
          <w:p w14:paraId="08A1679C" w14:textId="3EFC3C4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強化学習による搬送車の経路誘導（商用）</w:t>
            </w:r>
          </w:p>
        </w:tc>
        <w:tc>
          <w:tcPr>
            <w:tcW w:w="2432" w:type="dxa"/>
            <w:vAlign w:val="center"/>
          </w:tcPr>
          <w:p w14:paraId="3310843E" w14:textId="6DA24AE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1,000台超の割当と経路誘導</w:t>
            </w:r>
          </w:p>
        </w:tc>
        <w:tc>
          <w:tcPr>
            <w:tcW w:w="2339" w:type="dxa"/>
            <w:vAlign w:val="center"/>
          </w:tcPr>
          <w:p w14:paraId="1BAE1DAF" w14:textId="0621A16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車両を制御できることが前提</w:t>
            </w:r>
          </w:p>
        </w:tc>
        <w:tc>
          <w:tcPr>
            <w:tcW w:w="2339" w:type="dxa"/>
            <w:vAlign w:val="center"/>
          </w:tcPr>
          <w:p w14:paraId="01B59047" w14:textId="533A639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層が異なる</w:t>
            </w:r>
          </w:p>
        </w:tc>
      </w:tr>
      <w:tr w:rsidR="00DC258B" w14:paraId="321A03D3" w14:textId="77777777" w:rsidTr="00DC258B">
        <w:tc>
          <w:tcPr>
            <w:tcW w:w="2245" w:type="dxa"/>
            <w:vAlign w:val="center"/>
          </w:tcPr>
          <w:p w14:paraId="3E6D9BD1" w14:textId="246A9317"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先行研究（</w:t>
            </w:r>
            <w:r w:rsidRPr="00DC258B">
              <w:rPr>
                <w:rFonts w:ascii="IPAexゴシック" w:eastAsia="IPAexゴシック" w:hAnsi="IPAexゴシック"/>
                <w:color w:val="000000"/>
              </w:rPr>
              <w:t>2026年8月）</w:t>
            </w:r>
          </w:p>
        </w:tc>
        <w:tc>
          <w:tcPr>
            <w:tcW w:w="2432" w:type="dxa"/>
            <w:vAlign w:val="center"/>
          </w:tcPr>
          <w:p w14:paraId="0DFF6FD4" w14:textId="279994B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上位での渋滞を考慮した経路選択</w:t>
            </w:r>
          </w:p>
        </w:tc>
        <w:tc>
          <w:tcPr>
            <w:tcW w:w="2339" w:type="dxa"/>
            <w:vAlign w:val="center"/>
          </w:tcPr>
          <w:p w14:paraId="1B71D5C2" w14:textId="49EA827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1拠点で事前学習、経路選択のみ</w:t>
            </w:r>
          </w:p>
        </w:tc>
        <w:tc>
          <w:tcPr>
            <w:tcW w:w="2339" w:type="dxa"/>
            <w:vAlign w:val="center"/>
          </w:tcPr>
          <w:p w14:paraId="792240B9" w14:textId="449C47E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運用中の適応、タイミングと優先度、制約層、段階導入で差別化</w:t>
            </w:r>
          </w:p>
        </w:tc>
      </w:tr>
      <w:tr w:rsidR="00DC258B" w14:paraId="5DB6F9F2" w14:textId="77777777" w:rsidTr="00DC258B">
        <w:tc>
          <w:tcPr>
            <w:tcW w:w="2245" w:type="dxa"/>
            <w:vAlign w:val="center"/>
          </w:tcPr>
          <w:p w14:paraId="2B1190FE" w14:textId="3A80457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複数メーカーのロボット統合管理（物流）</w:t>
            </w:r>
          </w:p>
        </w:tc>
        <w:tc>
          <w:tcPr>
            <w:tcW w:w="2432" w:type="dxa"/>
            <w:vAlign w:val="center"/>
          </w:tcPr>
          <w:p w14:paraId="5BF423DB" w14:textId="65F67F96"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接続と単一の上位への集約</w:t>
            </w:r>
          </w:p>
        </w:tc>
        <w:tc>
          <w:tcPr>
            <w:tcW w:w="2339" w:type="dxa"/>
            <w:vAlign w:val="center"/>
          </w:tcPr>
          <w:p w14:paraId="4010829E" w14:textId="3C8979A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接続部または規格対応が前提</w:t>
            </w:r>
          </w:p>
        </w:tc>
        <w:tc>
          <w:tcPr>
            <w:tcW w:w="2339" w:type="dxa"/>
            <w:vAlign w:val="center"/>
          </w:tcPr>
          <w:p w14:paraId="546FBD1E" w14:textId="010CE58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展開先での競合。応答の同定は公開情報では確認できず</w:t>
            </w:r>
          </w:p>
        </w:tc>
      </w:tr>
    </w:tbl>
    <w:p w14:paraId="7DC8B875"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2763AE8D" w14:textId="362C0DFF"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新規性と優位性</w:t>
      </w:r>
    </w:p>
    <w:p w14:paraId="50F64D9B" w14:textId="140C1205" w:rsidR="00DC258B" w:rsidRPr="00DC258B" w:rsidRDefault="00DC258B" w:rsidP="00DC258B">
      <w:pPr>
        <w:widowControl/>
        <w:numPr>
          <w:ilvl w:val="0"/>
          <w:numId w:val="12"/>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既設を交換せず、メーカーの協力がなくても、ログだけで価値を出し始められる。</w:t>
      </w:r>
    </w:p>
    <w:p w14:paraId="063AD09B" w14:textId="597F8C27" w:rsidR="00DC258B" w:rsidRPr="00DC258B" w:rsidRDefault="00DC258B" w:rsidP="00DC258B">
      <w:pPr>
        <w:widowControl/>
        <w:numPr>
          <w:ilvl w:val="0"/>
          <w:numId w:val="12"/>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制御に触れない診断から入れるため、外部ソフトの導入障壁が高い工場にも入れる。</w:t>
      </w:r>
    </w:p>
    <w:p w14:paraId="1BB069CC" w14:textId="2C4584A6" w:rsidR="00DC258B" w:rsidRPr="00DC258B" w:rsidRDefault="00DC258B" w:rsidP="00DC258B">
      <w:pPr>
        <w:widowControl/>
        <w:numPr>
          <w:ilvl w:val="0"/>
          <w:numId w:val="12"/>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異なる現場の応答データと、止めずに導入する手順の実績が蓄積される。</w:t>
      </w:r>
    </w:p>
    <w:p w14:paraId="1EED9B56" w14:textId="4D247479"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⑥事業化・社会実装の具体的な進め方</w:t>
      </w:r>
    </w:p>
    <w:p w14:paraId="181F4DB2" w14:textId="03F45ED7"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ビジネスモデル</w:t>
      </w:r>
    </w:p>
    <w:p w14:paraId="49418DD4" w14:textId="38EE8122"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診断（ログからの混み具合と遅れの予測レポート）を入口とし、工場単位の年額利用料で提供する。制御は、上位ソフトの置き換え案件に組み込む部品として、製造ソフトウェア企業経由または工場への直接提供で、年額利用料と導入支援費を得る。</w:t>
      </w:r>
      <w:r w:rsidRPr="00DC258B">
        <w:rPr>
          <w:rFonts w:ascii="IPAexゴシック" w:eastAsia="IPAexゴシック" w:hAnsi="IPAexゴシック"/>
          <w:color w:val="000000"/>
        </w:rPr>
        <w:t>[要記入:小幡] 価格の仮説と根拠。</w:t>
      </w:r>
    </w:p>
    <w:p w14:paraId="20FCE85F" w14:textId="216B5968"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事業期間中の作業、体制、線表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403"/>
        <w:gridCol w:w="2339"/>
        <w:gridCol w:w="3274"/>
        <w:gridCol w:w="2339"/>
      </w:tblGrid>
      <w:tr w:rsidR="00DC258B" w14:paraId="3D39DDE3" w14:textId="77777777" w:rsidTr="00DC258B">
        <w:trPr>
          <w:tblHeader/>
        </w:trPr>
        <w:tc>
          <w:tcPr>
            <w:tcW w:w="1403" w:type="dxa"/>
            <w:shd w:val="clear" w:color="auto" w:fill="D9D9D9"/>
            <w:vAlign w:val="center"/>
          </w:tcPr>
          <w:p w14:paraId="7889E813" w14:textId="614A9857"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時期</w:t>
            </w:r>
          </w:p>
        </w:tc>
        <w:tc>
          <w:tcPr>
            <w:tcW w:w="2339" w:type="dxa"/>
            <w:shd w:val="clear" w:color="auto" w:fill="D9D9D9"/>
            <w:vAlign w:val="center"/>
          </w:tcPr>
          <w:p w14:paraId="5D9915A4" w14:textId="05C33EBD"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対象</w:t>
            </w:r>
          </w:p>
        </w:tc>
        <w:tc>
          <w:tcPr>
            <w:tcW w:w="3274" w:type="dxa"/>
            <w:shd w:val="clear" w:color="auto" w:fill="D9D9D9"/>
            <w:vAlign w:val="center"/>
          </w:tcPr>
          <w:p w14:paraId="54E00E6B" w14:textId="2E4A992D"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作業内容</w:t>
            </w:r>
          </w:p>
        </w:tc>
        <w:tc>
          <w:tcPr>
            <w:tcW w:w="2339" w:type="dxa"/>
            <w:shd w:val="clear" w:color="auto" w:fill="D9D9D9"/>
            <w:vAlign w:val="center"/>
          </w:tcPr>
          <w:p w14:paraId="3295F08B" w14:textId="7EE315E1"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成功条件</w:t>
            </w:r>
          </w:p>
        </w:tc>
      </w:tr>
      <w:tr w:rsidR="00DC258B" w14:paraId="3B8ACB39" w14:textId="77777777" w:rsidTr="00DC258B">
        <w:tc>
          <w:tcPr>
            <w:tcW w:w="1403" w:type="dxa"/>
            <w:vAlign w:val="center"/>
          </w:tcPr>
          <w:p w14:paraId="70021BB0" w14:textId="68CB645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応募前</w:t>
            </w:r>
          </w:p>
        </w:tc>
        <w:tc>
          <w:tcPr>
            <w:tcW w:w="2339" w:type="dxa"/>
            <w:vAlign w:val="center"/>
          </w:tcPr>
          <w:p w14:paraId="1BED210E" w14:textId="48C80E5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聞き取り先</w:t>
            </w:r>
            <w:r w:rsidRPr="00DC258B">
              <w:rPr>
                <w:rFonts w:ascii="IPAexゴシック" w:eastAsia="IPAexゴシック" w:hAnsi="IPAexゴシック"/>
                <w:color w:val="000000"/>
              </w:rPr>
              <w:t>[要記入]件</w:t>
            </w:r>
          </w:p>
        </w:tc>
        <w:tc>
          <w:tcPr>
            <w:tcW w:w="3274" w:type="dxa"/>
            <w:vAlign w:val="center"/>
          </w:tcPr>
          <w:p w14:paraId="7319E223" w14:textId="3DDB490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遅れによる損失、予算保有者、ログ提供の可否の確認</w:t>
            </w:r>
          </w:p>
        </w:tc>
        <w:tc>
          <w:tcPr>
            <w:tcW w:w="2339" w:type="dxa"/>
            <w:vAlign w:val="center"/>
          </w:tcPr>
          <w:p w14:paraId="43054091" w14:textId="5F14D944"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同じ課題が</w:t>
            </w:r>
            <w:r w:rsidRPr="00DC258B">
              <w:rPr>
                <w:rFonts w:ascii="IPAexゴシック" w:eastAsia="IPAexゴシック" w:hAnsi="IPAexゴシック"/>
                <w:color w:val="000000"/>
              </w:rPr>
              <w:t>3件以上、ログ提供の意向1件</w:t>
            </w:r>
          </w:p>
        </w:tc>
      </w:tr>
      <w:tr w:rsidR="00DC258B" w14:paraId="55233ACF" w14:textId="77777777" w:rsidTr="00DC258B">
        <w:tc>
          <w:tcPr>
            <w:tcW w:w="1403" w:type="dxa"/>
            <w:vAlign w:val="center"/>
          </w:tcPr>
          <w:p w14:paraId="56A32DA9" w14:textId="45FA2A2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2か月目</w:t>
            </w:r>
          </w:p>
        </w:tc>
        <w:tc>
          <w:tcPr>
            <w:tcW w:w="2339" w:type="dxa"/>
            <w:vAlign w:val="center"/>
          </w:tcPr>
          <w:p w14:paraId="4D1B9212" w14:textId="575E123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協力先</w:t>
            </w:r>
            <w:r w:rsidRPr="00DC258B">
              <w:rPr>
                <w:rFonts w:ascii="IPAexゴシック" w:eastAsia="IPAexゴシック" w:hAnsi="IPAexゴシック"/>
                <w:color w:val="000000"/>
              </w:rPr>
              <w:t>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2件</w:t>
            </w:r>
          </w:p>
        </w:tc>
        <w:tc>
          <w:tcPr>
            <w:tcW w:w="3274" w:type="dxa"/>
            <w:vAlign w:val="center"/>
          </w:tcPr>
          <w:p w14:paraId="35BFA909" w14:textId="4EEE0D1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ログ形式、評価指標、秘密保持の合意</w:t>
            </w:r>
          </w:p>
        </w:tc>
        <w:tc>
          <w:tcPr>
            <w:tcW w:w="2339" w:type="dxa"/>
            <w:vAlign w:val="center"/>
          </w:tcPr>
          <w:p w14:paraId="14C498B6" w14:textId="1D7A0DC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文書合意</w:t>
            </w:r>
          </w:p>
        </w:tc>
      </w:tr>
      <w:tr w:rsidR="00DC258B" w14:paraId="1DCEA438" w14:textId="77777777" w:rsidTr="00DC258B">
        <w:tc>
          <w:tcPr>
            <w:tcW w:w="1403" w:type="dxa"/>
            <w:vAlign w:val="center"/>
          </w:tcPr>
          <w:p w14:paraId="4393F5FC" w14:textId="1365A18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3</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5か月目</w:t>
            </w:r>
          </w:p>
        </w:tc>
        <w:tc>
          <w:tcPr>
            <w:tcW w:w="2339" w:type="dxa"/>
            <w:vAlign w:val="center"/>
          </w:tcPr>
          <w:p w14:paraId="1E5095C6" w14:textId="5AAF52E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協力先</w:t>
            </w:r>
            <w:r w:rsidRPr="00DC258B">
              <w:rPr>
                <w:rFonts w:ascii="IPAexゴシック" w:eastAsia="IPAexゴシック" w:hAnsi="IPAexゴシック"/>
                <w:color w:val="000000"/>
              </w:rPr>
              <w:t>1件</w:t>
            </w:r>
          </w:p>
        </w:tc>
        <w:tc>
          <w:tcPr>
            <w:tcW w:w="3274" w:type="dxa"/>
            <w:vAlign w:val="center"/>
          </w:tcPr>
          <w:p w14:paraId="148E7C83" w14:textId="130D8B85"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実ログでの診断レポートの提示</w:t>
            </w:r>
          </w:p>
        </w:tc>
        <w:tc>
          <w:tcPr>
            <w:tcW w:w="2339" w:type="dxa"/>
            <w:vAlign w:val="center"/>
          </w:tcPr>
          <w:p w14:paraId="394B6E2E" w14:textId="09AE27F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現場が納得する予測精度</w:t>
            </w:r>
          </w:p>
        </w:tc>
      </w:tr>
      <w:tr w:rsidR="00DC258B" w14:paraId="2011ADF0" w14:textId="77777777" w:rsidTr="00DC258B">
        <w:tc>
          <w:tcPr>
            <w:tcW w:w="1403" w:type="dxa"/>
            <w:vAlign w:val="center"/>
          </w:tcPr>
          <w:p w14:paraId="1B7EB317" w14:textId="58218B1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6</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8か月目</w:t>
            </w:r>
          </w:p>
        </w:tc>
        <w:tc>
          <w:tcPr>
            <w:tcW w:w="2339" w:type="dxa"/>
            <w:vAlign w:val="center"/>
          </w:tcPr>
          <w:p w14:paraId="66A93C6A" w14:textId="1D3EE5DA"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同上と</w:t>
            </w:r>
            <w:r w:rsidRPr="00DC258B">
              <w:rPr>
                <w:rFonts w:ascii="IPAexゴシック" w:eastAsia="IPAexゴシック" w:hAnsi="IPAexゴシック"/>
                <w:color w:val="000000"/>
              </w:rPr>
              <w:t>2件目</w:t>
            </w:r>
          </w:p>
        </w:tc>
        <w:tc>
          <w:tcPr>
            <w:tcW w:w="3274" w:type="dxa"/>
            <w:vAlign w:val="center"/>
          </w:tcPr>
          <w:p w14:paraId="057F9E28" w14:textId="11048B1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並走運用、限定区画での制御と有償化の条件交渉</w:t>
            </w:r>
          </w:p>
        </w:tc>
        <w:tc>
          <w:tcPr>
            <w:tcW w:w="2339" w:type="dxa"/>
            <w:vAlign w:val="center"/>
          </w:tcPr>
          <w:p w14:paraId="0BE30A60" w14:textId="7659330B"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有償での診断提供または条件つきの発注意向</w:t>
            </w:r>
          </w:p>
        </w:tc>
      </w:tr>
    </w:tbl>
    <w:p w14:paraId="10C8C6C2"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6D174D97" w14:textId="32087C9D" w:rsidR="00DC258B" w:rsidRPr="00DC258B" w:rsidRDefault="00DC258B" w:rsidP="00DC258B">
      <w:pPr>
        <w:widowControl/>
        <w:spacing w:after="60" w:line="310" w:lineRule="exact"/>
        <w:ind w:firstLine="210"/>
        <w:rPr>
          <w:rFonts w:ascii="IPAexゴシック" w:eastAsia="IPAexゴシック" w:hAnsi="IPAexゴシック" w:hint="eastAsia"/>
          <w:color w:val="000000"/>
        </w:rPr>
      </w:pPr>
      <w:r w:rsidRPr="00DC258B">
        <w:rPr>
          <w:rFonts w:ascii="IPAexゴシック" w:eastAsia="IPAexゴシック" w:hAnsi="IPAexゴシック" w:hint="eastAsia"/>
          <w:color w:val="000000"/>
        </w:rPr>
        <w:t>体制は、小幡が協力先の開拓、聞き取り、契約条件の交渉を担当し、松川と白石が診断レポートの技術説明に同席する。</w:t>
      </w:r>
    </w:p>
    <w:p w14:paraId="6A70C65C" w14:textId="0376A9FE" w:rsidR="00DC258B" w:rsidRPr="00DC258B" w:rsidRDefault="00DC258B" w:rsidP="00DC258B">
      <w:pPr>
        <w:keepNext/>
        <w:widowControl/>
        <w:spacing w:before="120" w:after="40" w:line="310" w:lineRule="exact"/>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克服すべき課題とその解決策</w:t>
      </w:r>
    </w:p>
    <w:p w14:paraId="6DEC9165" w14:textId="2792CCE6" w:rsidR="00DC258B" w:rsidRPr="00DC258B" w:rsidRDefault="00DC258B" w:rsidP="00DC258B">
      <w:pPr>
        <w:widowControl/>
        <w:numPr>
          <w:ilvl w:val="0"/>
          <w:numId w:val="13"/>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メーカーがインタフェースを開示しない：ログだけで動く診断から入り、発注者である工場側を通じて開示を得る。</w:t>
      </w:r>
    </w:p>
    <w:p w14:paraId="25732CEC" w14:textId="7A7A786C" w:rsidR="00DC258B" w:rsidRPr="00DC258B" w:rsidRDefault="00DC258B" w:rsidP="00DC258B">
      <w:pPr>
        <w:widowControl/>
        <w:numPr>
          <w:ilvl w:val="0"/>
          <w:numId w:val="13"/>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工場は外部ソフトを制御に入れたがらない：命令を出さない並走運用で予測の正しさを示し、既に工場へ入っている製造ソフトウェア企業との協業で入る。</w:t>
      </w:r>
    </w:p>
    <w:p w14:paraId="62B4B093" w14:textId="1393DD75" w:rsidR="00DC258B" w:rsidRPr="00DC258B" w:rsidRDefault="00DC258B" w:rsidP="00DC258B">
      <w:pPr>
        <w:widowControl/>
        <w:numPr>
          <w:ilvl w:val="0"/>
          <w:numId w:val="13"/>
        </w:numPr>
        <w:spacing w:after="30" w:line="300" w:lineRule="exact"/>
        <w:jc w:val="left"/>
        <w:rPr>
          <w:rFonts w:ascii="IPAexゴシック" w:eastAsia="IPAexゴシック" w:hAnsi="IPAexゴシック" w:hint="eastAsia"/>
          <w:color w:val="000000"/>
        </w:rPr>
      </w:pPr>
      <w:r w:rsidRPr="00DC258B">
        <w:rPr>
          <w:rFonts w:ascii="IPAexゴシック" w:eastAsia="IPAexゴシック" w:hAnsi="IPAexゴシック" w:hint="eastAsia"/>
          <w:color w:val="000000"/>
        </w:rPr>
        <w:t>責任の分界：衝突防止など既設の安全機構には触れず、判断を誤っても遅れにとどまり静的ルールへ戻る設計であることを、契約と文書で明示する。</w:t>
      </w:r>
    </w:p>
    <w:p w14:paraId="5D59CC8E" w14:textId="78D6A294"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⑦事業期間終了後の事業化・社会実装に関する計画</w:t>
      </w:r>
    </w:p>
    <w:p w14:paraId="5FE9B354" w14:textId="62127AE5"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成果をもとに起業する。終了後</w:t>
      </w:r>
      <w:r w:rsidRPr="00DC258B">
        <w:rPr>
          <w:rFonts w:ascii="IPAexゴシック" w:eastAsia="IPAexゴシック" w:hAnsi="IPAexゴシック"/>
          <w:color w:val="000000"/>
        </w:rPr>
        <w:t>0</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12か月は、期間中の協力先を最初の有償顧客とし、1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2工場で診断を本番提供し、限定区画で制御を開始する。1</w:t>
      </w:r>
      <w:r w:rsidRPr="00DC258B">
        <w:rPr>
          <w:rFonts w:ascii="IPAexゴシック" w:eastAsia="IPAexゴシック" w:hAnsi="IPAexゴシック" w:hint="eastAsia"/>
          <w:color w:val="000000"/>
        </w:rPr>
        <w:t>〜</w:t>
      </w:r>
      <w:r w:rsidRPr="00DC258B">
        <w:rPr>
          <w:rFonts w:ascii="IPAexゴシック" w:eastAsia="IPAexゴシック" w:hAnsi="IPAexゴシック"/>
          <w:color w:val="000000"/>
        </w:rPr>
        <w:t>3年で、対応する上位ソフトと現場を増やし、物流倉庫の複数メーカー混在の搬送ロボットなど、止められない既設搬送へ展開する。半導体は製造ソフトウェア企業との協業を通じて海外の工場へ展開する。評価基盤とベンチマークは公開し、この領域の比較の土台とする。</w:t>
      </w:r>
    </w:p>
    <w:p w14:paraId="29904644" w14:textId="75662E2F" w:rsidR="00DC258B" w:rsidRPr="00DC258B" w:rsidRDefault="00DC258B" w:rsidP="00DC258B">
      <w:pPr>
        <w:widowControl/>
        <w:spacing w:before="60" w:after="60" w:line="310" w:lineRule="exact"/>
        <w:ind w:left="210" w:right="210"/>
        <w:rPr>
          <w:rFonts w:ascii="IPAexゴシック" w:eastAsia="IPAexゴシック" w:hAnsi="IPAexゴシック"/>
          <w:i/>
          <w:color w:val="000000"/>
        </w:rPr>
      </w:pPr>
      <w:r w:rsidRPr="00DC258B">
        <w:rPr>
          <w:rFonts w:ascii="IPAexゴシック" w:eastAsia="IPAexゴシック" w:hAnsi="IPAexゴシック"/>
          <w:i/>
          <w:color w:val="000000"/>
        </w:rPr>
        <w:t>[要試算:小幡] 終了後の人員はコア開発3名と現場導入1</w:t>
      </w:r>
      <w:r w:rsidRPr="00DC258B">
        <w:rPr>
          <w:rFonts w:ascii="IPAexゴシック" w:eastAsia="IPAexゴシック" w:hAnsi="IPAexゴシック" w:hint="eastAsia"/>
          <w:i/>
          <w:color w:val="000000"/>
        </w:rPr>
        <w:t>〜</w:t>
      </w:r>
      <w:r w:rsidRPr="00DC258B">
        <w:rPr>
          <w:rFonts w:ascii="IPAexゴシック" w:eastAsia="IPAexゴシック" w:hAnsi="IPAexゴシック"/>
          <w:i/>
          <w:color w:val="000000"/>
        </w:rPr>
        <w:t>2名。経費は人件費、計算資源、現場対応費。売上は工場あたりの年額利用料と導入支援費とし、聞き取りの結果から初年度の件数と単価を置く。</w:t>
      </w:r>
    </w:p>
    <w:p w14:paraId="569C9BB8" w14:textId="510EC593"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⑧予算内訳のまとめ</w:t>
      </w:r>
    </w:p>
    <w:p w14:paraId="29D5B5D8" w14:textId="5B2DFE46"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実施費用総額は</w:t>
      </w:r>
      <w:r w:rsidRPr="00DC258B">
        <w:rPr>
          <w:rFonts w:ascii="IPAexゴシック" w:eastAsia="IPAexゴシック" w:hAnsi="IPAexゴシック"/>
          <w:color w:val="000000"/>
        </w:rPr>
        <w:t>16,000,000円とする。時間単価5,000円に、事業期間（約8か月）中の各人の総作業時間を乗じて算出した。</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3181"/>
        <w:gridCol w:w="2806"/>
        <w:gridCol w:w="1684"/>
      </w:tblGrid>
      <w:tr w:rsidR="00DC258B" w14:paraId="0FEF7A5C" w14:textId="77777777" w:rsidTr="00DC258B">
        <w:trPr>
          <w:tblHeader/>
        </w:trPr>
        <w:tc>
          <w:tcPr>
            <w:tcW w:w="1684" w:type="dxa"/>
            <w:shd w:val="clear" w:color="auto" w:fill="D9D9D9"/>
            <w:vAlign w:val="center"/>
          </w:tcPr>
          <w:p w14:paraId="7EBBEE85" w14:textId="143BAFAD"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メンバー</w:t>
            </w:r>
          </w:p>
        </w:tc>
        <w:tc>
          <w:tcPr>
            <w:tcW w:w="3181" w:type="dxa"/>
            <w:shd w:val="clear" w:color="auto" w:fill="D9D9D9"/>
            <w:vAlign w:val="center"/>
          </w:tcPr>
          <w:p w14:paraId="0ABA60ED" w14:textId="50CF41A2"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主な作業</w:t>
            </w:r>
          </w:p>
        </w:tc>
        <w:tc>
          <w:tcPr>
            <w:tcW w:w="2806" w:type="dxa"/>
            <w:shd w:val="clear" w:color="auto" w:fill="D9D9D9"/>
            <w:vAlign w:val="center"/>
          </w:tcPr>
          <w:p w14:paraId="2B251A46" w14:textId="3A15D020"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総作業時間</w:t>
            </w:r>
          </w:p>
        </w:tc>
        <w:tc>
          <w:tcPr>
            <w:tcW w:w="1684" w:type="dxa"/>
            <w:shd w:val="clear" w:color="auto" w:fill="D9D9D9"/>
            <w:vAlign w:val="center"/>
          </w:tcPr>
          <w:p w14:paraId="496DAF6B" w14:textId="71DE2128" w:rsidR="00DC258B" w:rsidRPr="00DC258B" w:rsidRDefault="00DC258B" w:rsidP="00DC258B">
            <w:pPr>
              <w:spacing w:line="290" w:lineRule="exact"/>
              <w:jc w:val="left"/>
              <w:rPr>
                <w:rFonts w:ascii="IPAexゴシック" w:eastAsia="IPAexゴシック" w:hAnsi="IPAexゴシック"/>
                <w:b/>
                <w:color w:val="000000"/>
              </w:rPr>
            </w:pPr>
            <w:r w:rsidRPr="00DC258B">
              <w:rPr>
                <w:rFonts w:ascii="IPAexゴシック" w:eastAsia="IPAexゴシック" w:hAnsi="IPAexゴシック" w:hint="eastAsia"/>
                <w:b/>
                <w:color w:val="000000"/>
              </w:rPr>
              <w:t>費用</w:t>
            </w:r>
          </w:p>
        </w:tc>
      </w:tr>
      <w:tr w:rsidR="00DC258B" w14:paraId="273C3497" w14:textId="77777777" w:rsidTr="00DC258B">
        <w:tc>
          <w:tcPr>
            <w:tcW w:w="1684" w:type="dxa"/>
            <w:vAlign w:val="center"/>
          </w:tcPr>
          <w:p w14:paraId="7135D0C5" w14:textId="71AAEAF2"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小幡有生</w:t>
            </w:r>
          </w:p>
        </w:tc>
        <w:tc>
          <w:tcPr>
            <w:tcW w:w="3181" w:type="dxa"/>
            <w:vAlign w:val="center"/>
          </w:tcPr>
          <w:p w14:paraId="3896FBFF" w14:textId="45044A03"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契約・制約層、接続部、診断レポート、並走運用、統合、協力先との調整</w:t>
            </w:r>
          </w:p>
        </w:tc>
        <w:tc>
          <w:tcPr>
            <w:tcW w:w="2806" w:type="dxa"/>
            <w:vAlign w:val="center"/>
          </w:tcPr>
          <w:p w14:paraId="134E24CE" w14:textId="7AA6229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月</w:t>
            </w:r>
            <w:r w:rsidRPr="00DC258B">
              <w:rPr>
                <w:rFonts w:ascii="IPAexゴシック" w:eastAsia="IPAexゴシック" w:hAnsi="IPAexゴシック"/>
                <w:color w:val="000000"/>
              </w:rPr>
              <w:t>200時間 × 8か月 = 1,600時間</w:t>
            </w:r>
          </w:p>
        </w:tc>
        <w:tc>
          <w:tcPr>
            <w:tcW w:w="1684" w:type="dxa"/>
            <w:vAlign w:val="center"/>
          </w:tcPr>
          <w:p w14:paraId="37E6AB08" w14:textId="528ABE9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8,000,000円</w:t>
            </w:r>
          </w:p>
        </w:tc>
      </w:tr>
      <w:tr w:rsidR="00DC258B" w14:paraId="7A258FC9" w14:textId="77777777" w:rsidTr="00DC258B">
        <w:tc>
          <w:tcPr>
            <w:tcW w:w="1684" w:type="dxa"/>
            <w:vAlign w:val="center"/>
          </w:tcPr>
          <w:p w14:paraId="4BBA40CC" w14:textId="2FBFAEA8"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松川直生</w:t>
            </w:r>
          </w:p>
        </w:tc>
        <w:tc>
          <w:tcPr>
            <w:tcW w:w="3181" w:type="dxa"/>
            <w:vAlign w:val="center"/>
          </w:tcPr>
          <w:p w14:paraId="4354B7F0" w14:textId="679C3527"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応答同定と予測、選択の学習</w:t>
            </w:r>
          </w:p>
        </w:tc>
        <w:tc>
          <w:tcPr>
            <w:tcW w:w="2806" w:type="dxa"/>
            <w:vAlign w:val="center"/>
          </w:tcPr>
          <w:p w14:paraId="24214642" w14:textId="6F7D603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月</w:t>
            </w:r>
            <w:r w:rsidRPr="00DC258B">
              <w:rPr>
                <w:rFonts w:ascii="IPAexゴシック" w:eastAsia="IPAexゴシック" w:hAnsi="IPAexゴシック"/>
                <w:color w:val="000000"/>
              </w:rPr>
              <w:t>100時間 × 8か月 = 800時間</w:t>
            </w:r>
          </w:p>
        </w:tc>
        <w:tc>
          <w:tcPr>
            <w:tcW w:w="1684" w:type="dxa"/>
            <w:vAlign w:val="center"/>
          </w:tcPr>
          <w:p w14:paraId="2B91242D" w14:textId="37E15F39"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4,000,000円</w:t>
            </w:r>
          </w:p>
        </w:tc>
      </w:tr>
      <w:tr w:rsidR="00DC258B" w14:paraId="2936E02E" w14:textId="77777777" w:rsidTr="00DC258B">
        <w:tc>
          <w:tcPr>
            <w:tcW w:w="1684" w:type="dxa"/>
            <w:vAlign w:val="center"/>
          </w:tcPr>
          <w:p w14:paraId="0E0A1021" w14:textId="5C0ED291"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白石雄太郎</w:t>
            </w:r>
          </w:p>
        </w:tc>
        <w:tc>
          <w:tcPr>
            <w:tcW w:w="3181" w:type="dxa"/>
            <w:vAlign w:val="center"/>
          </w:tcPr>
          <w:p w14:paraId="33196A13" w14:textId="3FB0DBBE"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評価基盤、取り合いの抽出と選択、ベンチマーク</w:t>
            </w:r>
          </w:p>
        </w:tc>
        <w:tc>
          <w:tcPr>
            <w:tcW w:w="2806" w:type="dxa"/>
            <w:vAlign w:val="center"/>
          </w:tcPr>
          <w:p w14:paraId="71073B8F" w14:textId="14496890"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月</w:t>
            </w:r>
            <w:r w:rsidRPr="00DC258B">
              <w:rPr>
                <w:rFonts w:ascii="IPAexゴシック" w:eastAsia="IPAexゴシック" w:hAnsi="IPAexゴシック"/>
                <w:color w:val="000000"/>
              </w:rPr>
              <w:t>100時間 × 8か月 = 800時間</w:t>
            </w:r>
          </w:p>
        </w:tc>
        <w:tc>
          <w:tcPr>
            <w:tcW w:w="1684" w:type="dxa"/>
            <w:vAlign w:val="center"/>
          </w:tcPr>
          <w:p w14:paraId="3D84C2ED" w14:textId="5F3D1CA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4,000,000円</w:t>
            </w:r>
          </w:p>
        </w:tc>
      </w:tr>
      <w:tr w:rsidR="00DC258B" w14:paraId="1CC6DDE7" w14:textId="77777777" w:rsidTr="00DC258B">
        <w:tc>
          <w:tcPr>
            <w:tcW w:w="1684" w:type="dxa"/>
            <w:vAlign w:val="center"/>
          </w:tcPr>
          <w:p w14:paraId="394315A2" w14:textId="4681F3CF"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hint="eastAsia"/>
                <w:color w:val="000000"/>
              </w:rPr>
              <w:t>合計</w:t>
            </w:r>
          </w:p>
        </w:tc>
        <w:tc>
          <w:tcPr>
            <w:tcW w:w="3181" w:type="dxa"/>
            <w:vAlign w:val="center"/>
          </w:tcPr>
          <w:p w14:paraId="5DA1C848" w14:textId="77777777" w:rsidR="00DC258B" w:rsidRPr="00DC258B" w:rsidRDefault="00DC258B" w:rsidP="00DC258B">
            <w:pPr>
              <w:spacing w:line="290" w:lineRule="exact"/>
              <w:jc w:val="left"/>
              <w:rPr>
                <w:rFonts w:ascii="IPAexゴシック" w:eastAsia="IPAexゴシック" w:hAnsi="IPAexゴシック"/>
                <w:color w:val="000000"/>
              </w:rPr>
            </w:pPr>
          </w:p>
        </w:tc>
        <w:tc>
          <w:tcPr>
            <w:tcW w:w="2806" w:type="dxa"/>
            <w:vAlign w:val="center"/>
          </w:tcPr>
          <w:p w14:paraId="228D6998" w14:textId="027339AC"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3,200時間</w:t>
            </w:r>
          </w:p>
        </w:tc>
        <w:tc>
          <w:tcPr>
            <w:tcW w:w="1684" w:type="dxa"/>
            <w:vAlign w:val="center"/>
          </w:tcPr>
          <w:p w14:paraId="2618B43A" w14:textId="19783D6D" w:rsidR="00DC258B" w:rsidRPr="00DC258B" w:rsidRDefault="00DC258B" w:rsidP="00DC258B">
            <w:pPr>
              <w:spacing w:line="290" w:lineRule="exact"/>
              <w:jc w:val="left"/>
              <w:rPr>
                <w:rFonts w:ascii="IPAexゴシック" w:eastAsia="IPAexゴシック" w:hAnsi="IPAexゴシック"/>
                <w:color w:val="000000"/>
              </w:rPr>
            </w:pPr>
            <w:r w:rsidRPr="00DC258B">
              <w:rPr>
                <w:rFonts w:ascii="IPAexゴシック" w:eastAsia="IPAexゴシック" w:hAnsi="IPAexゴシック"/>
                <w:color w:val="000000"/>
              </w:rPr>
              <w:t>16,000,000円</w:t>
            </w:r>
          </w:p>
        </w:tc>
      </w:tr>
    </w:tbl>
    <w:p w14:paraId="7B5FA0B8" w14:textId="77777777" w:rsidR="00DC258B" w:rsidRDefault="00DC258B" w:rsidP="00DC258B">
      <w:pPr>
        <w:spacing w:after="40" w:line="100" w:lineRule="exact"/>
        <w:ind w:firstLineChars="100" w:firstLine="210"/>
        <w:rPr>
          <w:rFonts w:ascii="IPAexゴシック" w:eastAsia="IPAexゴシック" w:hAnsi="IPAexゴシック"/>
          <w:color w:val="000000"/>
        </w:rPr>
      </w:pPr>
    </w:p>
    <w:p w14:paraId="0A7CF5ED" w14:textId="6DCAFA2E"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小幡は本プロジェクトに専従する。松川と白石は大学院の研究と両立できる時間として月</w:t>
      </w:r>
      <w:r w:rsidRPr="00DC258B">
        <w:rPr>
          <w:rFonts w:ascii="IPAexゴシック" w:eastAsia="IPAexゴシック" w:hAnsi="IPAexゴシック"/>
          <w:color w:val="000000"/>
        </w:rPr>
        <w:t>100時間を計画した。[要確認:松川・白石] 計算資源と現場対応の費用は自己負担とする。</w:t>
      </w:r>
    </w:p>
    <w:p w14:paraId="7A0F824E" w14:textId="4006D5C9" w:rsidR="00DC258B" w:rsidRPr="00DC258B" w:rsidRDefault="00DC258B" w:rsidP="00DC258B">
      <w:pPr>
        <w:keepNext/>
        <w:keepLines/>
        <w:widowControl/>
        <w:spacing w:before="180" w:after="80" w:line="360" w:lineRule="exact"/>
        <w:ind w:left="425"/>
        <w:jc w:val="left"/>
        <w:rPr>
          <w:rFonts w:ascii="IPAexゴシック" w:eastAsia="IPAexゴシック" w:hAnsi="IPAexゴシック" w:hint="eastAsia"/>
          <w:b/>
          <w:color w:val="000000"/>
        </w:rPr>
      </w:pPr>
      <w:r w:rsidRPr="00DC258B">
        <w:rPr>
          <w:rFonts w:ascii="IPAexゴシック" w:eastAsia="IPAexゴシック" w:hAnsi="IPAexゴシック" w:hint="eastAsia"/>
          <w:b/>
          <w:color w:val="000000"/>
        </w:rPr>
        <w:t>⑨提案プロジェクトと所属企業が行うビジネスモデル・技術開発との差異（提案者のいずれかが企業等に所属する場合のみ）</w:t>
      </w:r>
    </w:p>
    <w:p w14:paraId="1335C142" w14:textId="0F26E68F" w:rsidR="00DC258B" w:rsidRPr="00DC258B" w:rsidRDefault="00DC258B" w:rsidP="00DC258B">
      <w:pPr>
        <w:widowControl/>
        <w:spacing w:after="60" w:line="310" w:lineRule="exact"/>
        <w:ind w:firstLine="210"/>
        <w:rPr>
          <w:rFonts w:ascii="IPAexゴシック" w:eastAsia="IPAexゴシック" w:hAnsi="IPAexゴシック"/>
          <w:color w:val="000000"/>
        </w:rPr>
      </w:pPr>
      <w:r w:rsidRPr="00DC258B">
        <w:rPr>
          <w:rFonts w:ascii="IPAexゴシック" w:eastAsia="IPAexゴシック" w:hAnsi="IPAexゴシック" w:hint="eastAsia"/>
          <w:color w:val="000000"/>
        </w:rPr>
        <w:t>提案者はいずれも企業等に所属していない。小幡は音声</w:t>
      </w:r>
      <w:r w:rsidRPr="00DC258B">
        <w:rPr>
          <w:rFonts w:ascii="IPAexゴシック" w:eastAsia="IPAexゴシック" w:hAnsi="IPAexゴシック"/>
          <w:color w:val="000000"/>
        </w:rPr>
        <w:t>AI領域の企業を創業したが、[要記入:小幡 退任年月]に退任しており、現在は同社の経営にも業務にも関与していない。[要記入:小幡 株式を保有し続けている場合はその旨] 本提案は同社の事業とは顧客、技術、コード、データのいずれも重ならず、同社との間に本プロジェクトの遂行を妨げる制約はない。松川と白石は大学院生であり、所属研究室の了解を得ている。[要確認:松川・白石]</w:t>
      </w:r>
    </w:p>
    <w:sectPr w:rsidR="00DC258B" w:rsidRPr="00DC258B" w:rsidSect="00DC258B">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1134" w:right="1134" w:bottom="1134" w:left="1417" w:header="1134" w:footer="567"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7A0F8" w14:textId="77777777" w:rsidR="00C37B24" w:rsidRDefault="00C37B24">
      <w:r>
        <w:separator/>
      </w:r>
    </w:p>
  </w:endnote>
  <w:endnote w:type="continuationSeparator" w:id="0">
    <w:p w14:paraId="1547EB9B" w14:textId="77777777" w:rsidR="00C37B24" w:rsidRDefault="00C37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altName w:val="游ゴシック"/>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BB6B" w14:textId="77777777" w:rsidR="00DC258B" w:rsidRDefault="00DC258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CF75" w14:textId="77777777" w:rsidR="00DC258B" w:rsidRDefault="00DC258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5ED7" w14:textId="77777777" w:rsidR="00C37B24" w:rsidRDefault="00C37B24">
      <w:r>
        <w:separator/>
      </w:r>
    </w:p>
  </w:footnote>
  <w:footnote w:type="continuationSeparator" w:id="0">
    <w:p w14:paraId="0CDFE946" w14:textId="77777777" w:rsidR="00C37B24" w:rsidRDefault="00C37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6911" w14:textId="77777777" w:rsidR="00DC258B" w:rsidRDefault="00DC258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C5B0" w14:textId="77777777" w:rsidR="00DC258B" w:rsidRDefault="00DC258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BC32" w14:textId="77777777" w:rsidR="00DC258B" w:rsidRDefault="00DC258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082E08E0"/>
    <w:multiLevelType w:val="singleLevel"/>
    <w:tmpl w:val="04090001"/>
    <w:lvl w:ilvl="0">
      <w:start w:val="1"/>
      <w:numFmt w:val="bullet"/>
      <w:lvlText w:val=""/>
      <w:lvlJc w:val="left"/>
      <w:pPr>
        <w:ind w:left="440" w:hanging="440"/>
      </w:pPr>
      <w:rPr>
        <w:rFonts w:ascii="Wingdings" w:hAnsi="Wingdings" w:hint="default"/>
      </w:rPr>
    </w:lvl>
  </w:abstractNum>
  <w:abstractNum w:abstractNumId="2" w15:restartNumberingAfterBreak="0">
    <w:nsid w:val="087927B6"/>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18E37CFE"/>
    <w:multiLevelType w:val="singleLevel"/>
    <w:tmpl w:val="04090001"/>
    <w:lvl w:ilvl="0">
      <w:start w:val="1"/>
      <w:numFmt w:val="bullet"/>
      <w:lvlText w:val=""/>
      <w:lvlJc w:val="left"/>
      <w:pPr>
        <w:ind w:left="440" w:hanging="440"/>
      </w:pPr>
      <w:rPr>
        <w:rFonts w:ascii="Wingdings" w:hAnsi="Wingdings" w:hint="default"/>
      </w:rPr>
    </w:lvl>
  </w:abstractNum>
  <w:abstractNum w:abstractNumId="4" w15:restartNumberingAfterBreak="0">
    <w:nsid w:val="1EAD7ACD"/>
    <w:multiLevelType w:val="singleLevel"/>
    <w:tmpl w:val="04090001"/>
    <w:lvl w:ilvl="0">
      <w:start w:val="1"/>
      <w:numFmt w:val="bullet"/>
      <w:lvlText w:val=""/>
      <w:lvlJc w:val="left"/>
      <w:pPr>
        <w:ind w:left="440" w:hanging="440"/>
      </w:pPr>
      <w:rPr>
        <w:rFonts w:ascii="Wingdings" w:hAnsi="Wingdings" w:hint="default"/>
      </w:rPr>
    </w:lvl>
  </w:abstractNum>
  <w:abstractNum w:abstractNumId="5" w15:restartNumberingAfterBreak="0">
    <w:nsid w:val="350C3899"/>
    <w:multiLevelType w:val="singleLevel"/>
    <w:tmpl w:val="04090001"/>
    <w:lvl w:ilvl="0">
      <w:start w:val="1"/>
      <w:numFmt w:val="bullet"/>
      <w:lvlText w:val=""/>
      <w:lvlJc w:val="left"/>
      <w:pPr>
        <w:ind w:left="440" w:hanging="440"/>
      </w:pPr>
      <w:rPr>
        <w:rFonts w:ascii="Wingdings" w:hAnsi="Wingdings" w:hint="default"/>
      </w:rPr>
    </w:lvl>
  </w:abstractNum>
  <w:abstractNum w:abstractNumId="6" w15:restartNumberingAfterBreak="0">
    <w:nsid w:val="3780703C"/>
    <w:multiLevelType w:val="singleLevel"/>
    <w:tmpl w:val="04090001"/>
    <w:lvl w:ilvl="0">
      <w:start w:val="1"/>
      <w:numFmt w:val="bullet"/>
      <w:lvlText w:val=""/>
      <w:lvlJc w:val="left"/>
      <w:pPr>
        <w:ind w:left="440" w:hanging="440"/>
      </w:pPr>
      <w:rPr>
        <w:rFonts w:ascii="Wingdings" w:hAnsi="Wingdings" w:hint="default"/>
      </w:rPr>
    </w:lvl>
  </w:abstractNum>
  <w:abstractNum w:abstractNumId="7" w15:restartNumberingAfterBreak="0">
    <w:nsid w:val="5164261D"/>
    <w:multiLevelType w:val="singleLevel"/>
    <w:tmpl w:val="04090001"/>
    <w:lvl w:ilvl="0">
      <w:start w:val="1"/>
      <w:numFmt w:val="bullet"/>
      <w:lvlText w:val=""/>
      <w:lvlJc w:val="left"/>
      <w:pPr>
        <w:ind w:left="440" w:hanging="440"/>
      </w:pPr>
      <w:rPr>
        <w:rFonts w:ascii="Wingdings" w:hAnsi="Wingdings" w:hint="default"/>
      </w:rPr>
    </w:lvl>
  </w:abstractNum>
  <w:abstractNum w:abstractNumId="8"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9" w15:restartNumberingAfterBreak="0">
    <w:nsid w:val="5DB77C5F"/>
    <w:multiLevelType w:val="singleLevel"/>
    <w:tmpl w:val="04090001"/>
    <w:lvl w:ilvl="0">
      <w:start w:val="1"/>
      <w:numFmt w:val="bullet"/>
      <w:lvlText w:val=""/>
      <w:lvlJc w:val="left"/>
      <w:pPr>
        <w:ind w:left="440" w:hanging="440"/>
      </w:pPr>
      <w:rPr>
        <w:rFonts w:ascii="Wingdings" w:hAnsi="Wingdings" w:hint="default"/>
      </w:rPr>
    </w:lvl>
  </w:abstractNum>
  <w:abstractNum w:abstractNumId="10" w15:restartNumberingAfterBreak="0">
    <w:nsid w:val="5FC72E86"/>
    <w:multiLevelType w:val="singleLevel"/>
    <w:tmpl w:val="04090001"/>
    <w:lvl w:ilvl="0">
      <w:start w:val="1"/>
      <w:numFmt w:val="bullet"/>
      <w:lvlText w:val=""/>
      <w:lvlJc w:val="left"/>
      <w:pPr>
        <w:ind w:left="440" w:hanging="440"/>
      </w:pPr>
      <w:rPr>
        <w:rFonts w:ascii="Wingdings" w:hAnsi="Wingdings" w:hint="default"/>
      </w:rPr>
    </w:lvl>
  </w:abstractNum>
  <w:abstractNum w:abstractNumId="11" w15:restartNumberingAfterBreak="0">
    <w:nsid w:val="6B15638B"/>
    <w:multiLevelType w:val="singleLevel"/>
    <w:tmpl w:val="04090001"/>
    <w:lvl w:ilvl="0">
      <w:start w:val="1"/>
      <w:numFmt w:val="bullet"/>
      <w:lvlText w:val=""/>
      <w:lvlJc w:val="left"/>
      <w:pPr>
        <w:ind w:left="440" w:hanging="440"/>
      </w:pPr>
      <w:rPr>
        <w:rFonts w:ascii="Wingdings" w:hAnsi="Wingdings" w:hint="default"/>
      </w:rPr>
    </w:lvl>
  </w:abstractNum>
  <w:abstractNum w:abstractNumId="12" w15:restartNumberingAfterBreak="0">
    <w:nsid w:val="720E4F80"/>
    <w:multiLevelType w:val="singleLevel"/>
    <w:tmpl w:val="04090001"/>
    <w:lvl w:ilvl="0">
      <w:start w:val="1"/>
      <w:numFmt w:val="bullet"/>
      <w:lvlText w:val=""/>
      <w:lvlJc w:val="left"/>
      <w:pPr>
        <w:ind w:left="440" w:hanging="440"/>
      </w:pPr>
      <w:rPr>
        <w:rFonts w:ascii="Wingdings" w:hAnsi="Wingdings" w:hint="default"/>
      </w:rPr>
    </w:lvl>
  </w:abstractNum>
  <w:num w:numId="1" w16cid:durableId="174462892">
    <w:abstractNumId w:val="0"/>
  </w:num>
  <w:num w:numId="2" w16cid:durableId="1257247940">
    <w:abstractNumId w:val="8"/>
  </w:num>
  <w:num w:numId="3" w16cid:durableId="289674464">
    <w:abstractNumId w:val="3"/>
  </w:num>
  <w:num w:numId="4" w16cid:durableId="1684479390">
    <w:abstractNumId w:val="11"/>
  </w:num>
  <w:num w:numId="5" w16cid:durableId="618488791">
    <w:abstractNumId w:val="1"/>
  </w:num>
  <w:num w:numId="6" w16cid:durableId="956642270">
    <w:abstractNumId w:val="2"/>
  </w:num>
  <w:num w:numId="7" w16cid:durableId="1802259531">
    <w:abstractNumId w:val="4"/>
  </w:num>
  <w:num w:numId="8" w16cid:durableId="1236555169">
    <w:abstractNumId w:val="6"/>
  </w:num>
  <w:num w:numId="9" w16cid:durableId="493837607">
    <w:abstractNumId w:val="12"/>
  </w:num>
  <w:num w:numId="10" w16cid:durableId="270548309">
    <w:abstractNumId w:val="5"/>
  </w:num>
  <w:num w:numId="11" w16cid:durableId="350105231">
    <w:abstractNumId w:val="10"/>
  </w:num>
  <w:num w:numId="12" w16cid:durableId="321130251">
    <w:abstractNumId w:val="9"/>
  </w:num>
  <w:num w:numId="13" w16cid:durableId="852570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F1023"/>
    <w:rsid w:val="005044A1"/>
    <w:rsid w:val="00507DD1"/>
    <w:rsid w:val="00512712"/>
    <w:rsid w:val="005474C8"/>
    <w:rsid w:val="005478EB"/>
    <w:rsid w:val="00574FAD"/>
    <w:rsid w:val="005763FE"/>
    <w:rsid w:val="00586B7D"/>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7E93"/>
    <w:rsid w:val="00B85E8A"/>
    <w:rsid w:val="00B96A7A"/>
    <w:rsid w:val="00BB2ED4"/>
    <w:rsid w:val="00BE0683"/>
    <w:rsid w:val="00BE1B47"/>
    <w:rsid w:val="00C00DFD"/>
    <w:rsid w:val="00C051B8"/>
    <w:rsid w:val="00C0679A"/>
    <w:rsid w:val="00C25AF7"/>
    <w:rsid w:val="00C37B24"/>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258B"/>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1423</Words>
  <Characters>8116</Characters>
  <Application>Microsoft Office Word</Application>
  <DocSecurity>0</DocSecurity>
  <Lines>67</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2026-09-21T10:00:00Z</dcterms:modified>
</cp:coreProperties>
</file>