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48529" w14:textId="53349F50" w:rsidR="009B7B11" w:rsidRPr="00052C77" w:rsidRDefault="00052C77" w:rsidP="00052C77">
      <w:pPr>
        <w:widowControl/>
        <w:spacing w:after="20"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プロジェクト名：物理</w:t>
      </w:r>
      <w:r w:rsidRPr="00052C77">
        <w:rPr>
          <w:rFonts w:ascii="IPAexゴシック" w:eastAsia="IPAexゴシック" w:hAnsi="IPAexゴシック"/>
          <w:color w:val="000000"/>
        </w:rPr>
        <w:t>AIの委任を撤回・訂正する音声安全基盤の開発</w:t>
      </w:r>
    </w:p>
    <w:p w14:paraId="7114AB71" w14:textId="4102020A" w:rsidR="00052C77" w:rsidRPr="00052C77" w:rsidRDefault="00052C77" w:rsidP="00052C77">
      <w:pPr>
        <w:widowControl/>
        <w:spacing w:after="20" w:line="290" w:lineRule="exact"/>
        <w:jc w:val="left"/>
        <w:rPr>
          <w:rFonts w:ascii="IPAexゴシック" w:eastAsia="IPAexゴシック" w:hAnsi="IPAexゴシック" w:hint="eastAsia"/>
          <w:color w:val="000000"/>
        </w:rPr>
      </w:pPr>
      <w:r w:rsidRPr="00052C77">
        <w:rPr>
          <w:rFonts w:ascii="IPAexゴシック" w:eastAsia="IPAexゴシック" w:hAnsi="IPAexゴシック" w:hint="eastAsia"/>
          <w:color w:val="000000"/>
        </w:rPr>
        <w:t>提案者名：小幡有生、松川直生、白石雄太郎（参加・正式表記・所属・稼働は要確認）</w:t>
      </w:r>
    </w:p>
    <w:p w14:paraId="15A14EBC" w14:textId="685639D1" w:rsidR="00052C77" w:rsidRPr="00052C77" w:rsidRDefault="00052C77" w:rsidP="00052C77">
      <w:pPr>
        <w:keepNext/>
        <w:widowControl/>
        <w:spacing w:before="160" w:after="160" w:line="360" w:lineRule="exact"/>
        <w:jc w:val="center"/>
        <w:rPr>
          <w:rFonts w:ascii="IPAexゴシック" w:eastAsia="IPAexゴシック" w:hAnsi="IPAexゴシック" w:hint="eastAsia"/>
          <w:b/>
          <w:color w:val="000000"/>
          <w:sz w:val="24"/>
        </w:rPr>
      </w:pPr>
      <w:r w:rsidRPr="00052C77">
        <w:rPr>
          <w:rFonts w:ascii="IPAexゴシック" w:eastAsia="IPAexゴシック" w:hAnsi="IPAexゴシック" w:hint="eastAsia"/>
          <w:b/>
          <w:color w:val="000000"/>
          <w:sz w:val="24"/>
        </w:rPr>
        <w:t>【提案プロジェクト詳細資料】</w:t>
      </w:r>
    </w:p>
    <w:p w14:paraId="26CC496F" w14:textId="0629E36C"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⓪（過去に応募した提案と類似のテーマで応募する場合）改良点など、前回の提案との差異</w:t>
      </w:r>
    </w:p>
    <w:p w14:paraId="5CCF4241" w14:textId="162DB0ED" w:rsidR="00052C77" w:rsidRPr="00052C77" w:rsidRDefault="00052C77" w:rsidP="00052C77">
      <w:pPr>
        <w:widowControl/>
        <w:spacing w:before="60" w:after="60" w:line="310" w:lineRule="exact"/>
        <w:ind w:left="210" w:right="210"/>
        <w:rPr>
          <w:rFonts w:ascii="IPAexゴシック" w:eastAsia="IPAexゴシック" w:hAnsi="IPAexゴシック"/>
          <w:i/>
          <w:color w:val="000000"/>
        </w:rPr>
      </w:pPr>
      <w:r w:rsidRPr="00052C77">
        <w:rPr>
          <w:rFonts w:ascii="IPAexゴシック" w:eastAsia="IPAexゴシック" w:hAnsi="IPAexゴシック"/>
          <w:i/>
          <w:color w:val="000000"/>
        </w:rPr>
        <w:t>[要確認] 提案者全員の過去応募歴を確認する。類似テーマでの応募がない場合は「該当なし」とする。類似応募がある場合は、前回提案の題名、年度、審査結果を記載し、本提案で新たに加えた音声・意味・行為のStreaming IR、行為契約、端末上Safety Monitor、実機HIL評価との差異を明示する。</w:t>
      </w:r>
    </w:p>
    <w:p w14:paraId="19101F08" w14:textId="1A83481B"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①プロジェクトの背景、目的、目標</w:t>
      </w:r>
    </w:p>
    <w:p w14:paraId="6340FBFD" w14:textId="4F100DA6"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背景と問題</w:t>
      </w:r>
    </w:p>
    <w:p w14:paraId="31906460" w14:textId="0B677226"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color w:val="000000"/>
        </w:rPr>
        <w:t>AIエージェントやロボットへ自然言語で作業を委任できるようになる一方、いったん開始された物理行為は、画面上の生成結果と異なり簡単には巻き戻せない。現在の一般的な音声操作は、発話区間の確定、音声認識、LLMによる意味解釈、制御命令への変換を直列に行う。この構造では、利用者がAIの発話へ重ねて「違う」「赤ではなく青」「止まって」と訂正しても、確定処理を待つ間に機器が行為を続ける可能性がある。</w:t>
      </w:r>
    </w:p>
    <w:p w14:paraId="0B4C842C" w14:textId="2523D68D"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確認済みの事実として、</w:t>
      </w:r>
      <w:r w:rsidRPr="00052C77">
        <w:rPr>
          <w:rFonts w:ascii="IPAexゴシック" w:eastAsia="IPAexゴシック" w:hAnsi="IPAexゴシック"/>
          <w:color w:val="000000"/>
        </w:rPr>
        <w:t>Moshiは2024年にfull-duplex音声対話と約200ms級の実動作レイテンシを示しているため、低遅延だけを未踏性の中心には置けない。またInstruct-FDは2026年、full-duplexシステムのターンテイキング指示追従を評価し、調査時点の最良モデルでも遵守率64.4%と報告している。情報源からの推論として、低遅延モデルと物理非常停止の間には、曖昧な訂正を意味として扱いながら、期限内に安全側へ遷移する制御層が不足している。</w:t>
      </w:r>
    </w:p>
    <w:p w14:paraId="48859B19" w14:textId="489BECDE"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目的</w:t>
      </w:r>
    </w:p>
    <w:p w14:paraId="05B22DF5" w14:textId="6AE420B9"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人、</w:t>
      </w:r>
      <w:r w:rsidRPr="00052C77">
        <w:rPr>
          <w:rFonts w:ascii="IPAexゴシック" w:eastAsia="IPAexゴシック" w:hAnsi="IPAexゴシック"/>
          <w:color w:val="000000"/>
        </w:rPr>
        <w:t>AI、機器が同時に動く現場で、実行中の委任を音声で即時に撤回・訂正するVoice Safety Kernelを開発する。部分発話の段階から停止・訂正候補を検知し、行為の危険度、期限、確認条件に応じて、停止、減速、保留、確認、再開を切り替える。高知能なクラウドAIの応答を安全境界にせず、端末上の決定論的なSafety Monitorから機器へ制御イベントを出す。</w:t>
      </w:r>
    </w:p>
    <w:p w14:paraId="3871F87D" w14:textId="07569CB2"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代表デモと到達目標</w:t>
      </w:r>
    </w:p>
    <w:p w14:paraId="66C16A49" w14:textId="2517610A" w:rsidR="00052C77" w:rsidRPr="00052C77" w:rsidRDefault="00052C77" w:rsidP="00052C77">
      <w:pPr>
        <w:widowControl/>
        <w:spacing w:before="60" w:after="60" w:line="310" w:lineRule="exact"/>
        <w:ind w:left="210" w:right="210"/>
        <w:rPr>
          <w:rFonts w:ascii="IPAexゴシック" w:eastAsia="IPAexゴシック" w:hAnsi="IPAexゴシック"/>
          <w:i/>
          <w:color w:val="000000"/>
        </w:rPr>
      </w:pPr>
      <w:r w:rsidRPr="00052C77">
        <w:rPr>
          <w:rFonts w:ascii="IPAexゴシック" w:eastAsia="IPAexゴシック" w:hAnsi="IPAexゴシック"/>
          <w:i/>
          <w:color w:val="000000"/>
        </w:rPr>
        <w:t>[要決定] 最初の対象はロボットアームの対象選択・停止、または移動機器の進路変更・停止の一作業に固定する。代表デモでは、機器が動作中に利用者が重複発話で停止または対象変更を指示する。一般的なASR→LLM→制御方式と同条件で比較し、騒音、エコー、複数話者、通信断を加えたHIL環境でも評価する。数値は応募前の現状測定後に確定し、下表は反証可能な暫定値とす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619"/>
        <w:gridCol w:w="1310"/>
        <w:gridCol w:w="2152"/>
        <w:gridCol w:w="3274"/>
      </w:tblGrid>
      <w:tr w:rsidR="00052C77" w14:paraId="6EDD061A" w14:textId="77777777" w:rsidTr="00052C77">
        <w:trPr>
          <w:tblHeader/>
        </w:trPr>
        <w:tc>
          <w:tcPr>
            <w:tcW w:w="2619" w:type="dxa"/>
            <w:shd w:val="clear" w:color="auto" w:fill="D9D9D9"/>
            <w:vAlign w:val="center"/>
          </w:tcPr>
          <w:p w14:paraId="6C5043BA" w14:textId="4EEA59F6"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評価指標</w:t>
            </w:r>
          </w:p>
        </w:tc>
        <w:tc>
          <w:tcPr>
            <w:tcW w:w="1310" w:type="dxa"/>
            <w:shd w:val="clear" w:color="auto" w:fill="D9D9D9"/>
            <w:vAlign w:val="center"/>
          </w:tcPr>
          <w:p w14:paraId="5E432A7C" w14:textId="0F8A2263"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現状</w:t>
            </w:r>
          </w:p>
        </w:tc>
        <w:tc>
          <w:tcPr>
            <w:tcW w:w="2152" w:type="dxa"/>
            <w:shd w:val="clear" w:color="auto" w:fill="D9D9D9"/>
            <w:vAlign w:val="center"/>
          </w:tcPr>
          <w:p w14:paraId="51C1B0E3" w14:textId="4155F8A5"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暫定目標</w:t>
            </w:r>
          </w:p>
        </w:tc>
        <w:tc>
          <w:tcPr>
            <w:tcW w:w="3274" w:type="dxa"/>
            <w:shd w:val="clear" w:color="auto" w:fill="D9D9D9"/>
            <w:vAlign w:val="center"/>
          </w:tcPr>
          <w:p w14:paraId="0EABC624" w14:textId="1A30B320"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測定条件</w:t>
            </w:r>
          </w:p>
        </w:tc>
      </w:tr>
      <w:tr w:rsidR="00052C77" w14:paraId="20E9BD07" w14:textId="77777777" w:rsidTr="00052C77">
        <w:tc>
          <w:tcPr>
            <w:tcW w:w="2619" w:type="dxa"/>
            <w:vAlign w:val="center"/>
          </w:tcPr>
          <w:p w14:paraId="30400809" w14:textId="59549CA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停止指示から安全出力まで</w:t>
            </w:r>
          </w:p>
        </w:tc>
        <w:tc>
          <w:tcPr>
            <w:tcW w:w="1310" w:type="dxa"/>
            <w:vAlign w:val="center"/>
          </w:tcPr>
          <w:p w14:paraId="23810D06" w14:textId="1E0A9E3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未測定</w:t>
            </w:r>
          </w:p>
        </w:tc>
        <w:tc>
          <w:tcPr>
            <w:tcW w:w="2152" w:type="dxa"/>
            <w:vAlign w:val="center"/>
          </w:tcPr>
          <w:p w14:paraId="28DD6B29" w14:textId="18638A6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p95 100ms以下</w:t>
            </w:r>
          </w:p>
        </w:tc>
        <w:tc>
          <w:tcPr>
            <w:tcW w:w="3274" w:type="dxa"/>
            <w:vAlign w:val="center"/>
          </w:tcPr>
          <w:p w14:paraId="5164BE6A" w14:textId="1BA779F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端末内経路。</w:t>
            </w:r>
            <w:r w:rsidRPr="00052C77">
              <w:rPr>
                <w:rFonts w:ascii="IPAexゴシック" w:eastAsia="IPAexゴシック" w:hAnsi="IPAexゴシック"/>
                <w:color w:val="000000"/>
              </w:rPr>
              <w:t>ASR→LLM→制御と比較</w:t>
            </w:r>
          </w:p>
        </w:tc>
      </w:tr>
      <w:tr w:rsidR="00052C77" w14:paraId="1D9FAF0B" w14:textId="77777777" w:rsidTr="00052C77">
        <w:tc>
          <w:tcPr>
            <w:tcW w:w="2619" w:type="dxa"/>
            <w:vAlign w:val="center"/>
          </w:tcPr>
          <w:p w14:paraId="42058B30" w14:textId="02FFDDEB"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停止見逃し率</w:t>
            </w:r>
          </w:p>
        </w:tc>
        <w:tc>
          <w:tcPr>
            <w:tcW w:w="1310" w:type="dxa"/>
            <w:vAlign w:val="center"/>
          </w:tcPr>
          <w:p w14:paraId="69B97B83" w14:textId="2CF12F4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未測定</w:t>
            </w:r>
          </w:p>
        </w:tc>
        <w:tc>
          <w:tcPr>
            <w:tcW w:w="2152" w:type="dxa"/>
            <w:vAlign w:val="center"/>
          </w:tcPr>
          <w:p w14:paraId="0BC450F2" w14:textId="3BAF8565"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1%以下</w:t>
            </w:r>
          </w:p>
        </w:tc>
        <w:tc>
          <w:tcPr>
            <w:tcW w:w="3274" w:type="dxa"/>
            <w:vAlign w:val="center"/>
          </w:tcPr>
          <w:p w14:paraId="05620D2A" w14:textId="579D52ED"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騒音・エコー・重複発話を含む事前登録データ</w:t>
            </w:r>
          </w:p>
        </w:tc>
      </w:tr>
      <w:tr w:rsidR="00052C77" w14:paraId="6498CCFA" w14:textId="77777777" w:rsidTr="00052C77">
        <w:tc>
          <w:tcPr>
            <w:tcW w:w="2619" w:type="dxa"/>
            <w:vAlign w:val="center"/>
          </w:tcPr>
          <w:p w14:paraId="120B07F9" w14:textId="498322C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誤停止率</w:t>
            </w:r>
          </w:p>
        </w:tc>
        <w:tc>
          <w:tcPr>
            <w:tcW w:w="1310" w:type="dxa"/>
            <w:vAlign w:val="center"/>
          </w:tcPr>
          <w:p w14:paraId="4C3DA02A" w14:textId="46D99CC8"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未測定</w:t>
            </w:r>
          </w:p>
        </w:tc>
        <w:tc>
          <w:tcPr>
            <w:tcW w:w="2152" w:type="dxa"/>
            <w:vAlign w:val="center"/>
          </w:tcPr>
          <w:p w14:paraId="73365AC0" w14:textId="25608DDC"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5%以下</w:t>
            </w:r>
          </w:p>
        </w:tc>
        <w:tc>
          <w:tcPr>
            <w:tcW w:w="3274" w:type="dxa"/>
            <w:vAlign w:val="center"/>
          </w:tcPr>
          <w:p w14:paraId="07445C62" w14:textId="042EE54D"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通常会話と機器指示を混在させた評価</w:t>
            </w:r>
          </w:p>
        </w:tc>
      </w:tr>
      <w:tr w:rsidR="00052C77" w14:paraId="1F4F0938" w14:textId="77777777" w:rsidTr="00052C77">
        <w:tc>
          <w:tcPr>
            <w:tcW w:w="2619" w:type="dxa"/>
            <w:vAlign w:val="center"/>
          </w:tcPr>
          <w:p w14:paraId="54FC878F" w14:textId="161F6D2D"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訂正完了率</w:t>
            </w:r>
          </w:p>
        </w:tc>
        <w:tc>
          <w:tcPr>
            <w:tcW w:w="1310" w:type="dxa"/>
            <w:vAlign w:val="center"/>
          </w:tcPr>
          <w:p w14:paraId="76E952A3" w14:textId="4EAC25A6"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未測定</w:t>
            </w:r>
          </w:p>
        </w:tc>
        <w:tc>
          <w:tcPr>
            <w:tcW w:w="2152" w:type="dxa"/>
            <w:vAlign w:val="center"/>
          </w:tcPr>
          <w:p w14:paraId="70142150" w14:textId="07CBE86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ベースライン比</w:t>
            </w:r>
            <w:r w:rsidRPr="00052C77">
              <w:rPr>
                <w:rFonts w:ascii="IPAexゴシック" w:eastAsia="IPAexゴシック" w:hAnsi="IPAexゴシック"/>
                <w:color w:val="000000"/>
              </w:rPr>
              <w:t>20pt</w:t>
            </w:r>
            <w:r w:rsidRPr="00052C77">
              <w:rPr>
                <w:rFonts w:ascii="IPAexゴシック" w:eastAsia="IPAexゴシック" w:hAnsi="IPAexゴシック"/>
                <w:color w:val="000000"/>
              </w:rPr>
              <w:lastRenderedPageBreak/>
              <w:t>以上改善</w:t>
            </w:r>
          </w:p>
        </w:tc>
        <w:tc>
          <w:tcPr>
            <w:tcW w:w="3274" w:type="dxa"/>
            <w:vAlign w:val="center"/>
          </w:tcPr>
          <w:p w14:paraId="4F4EDBB2" w14:textId="349F725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lastRenderedPageBreak/>
              <w:t>対象・数量変更、停止後再開</w:t>
            </w:r>
          </w:p>
        </w:tc>
      </w:tr>
      <w:tr w:rsidR="00052C77" w14:paraId="6A88BCC6" w14:textId="77777777" w:rsidTr="00052C77">
        <w:tc>
          <w:tcPr>
            <w:tcW w:w="2619" w:type="dxa"/>
            <w:vAlign w:val="center"/>
          </w:tcPr>
          <w:p w14:paraId="36215CBF" w14:textId="63F1380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機器間移植性</w:t>
            </w:r>
          </w:p>
        </w:tc>
        <w:tc>
          <w:tcPr>
            <w:tcW w:w="1310" w:type="dxa"/>
            <w:vAlign w:val="center"/>
          </w:tcPr>
          <w:p w14:paraId="38EFD617" w14:textId="38007ED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0機器</w:t>
            </w:r>
          </w:p>
        </w:tc>
        <w:tc>
          <w:tcPr>
            <w:tcW w:w="2152" w:type="dxa"/>
            <w:vAlign w:val="center"/>
          </w:tcPr>
          <w:p w14:paraId="63F50DDD" w14:textId="060F3E2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2種類の実機</w:t>
            </w:r>
          </w:p>
        </w:tc>
        <w:tc>
          <w:tcPr>
            <w:tcW w:w="3274" w:type="dxa"/>
            <w:vAlign w:val="center"/>
          </w:tcPr>
          <w:p w14:paraId="4B21CB80" w14:textId="11D0003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行為契約を再利用し、機器アダプタだけ交換</w:t>
            </w:r>
          </w:p>
        </w:tc>
      </w:tr>
      <w:tr w:rsidR="00052C77" w14:paraId="242F8ABE" w14:textId="77777777" w:rsidTr="00052C77">
        <w:tc>
          <w:tcPr>
            <w:tcW w:w="2619" w:type="dxa"/>
            <w:vAlign w:val="center"/>
          </w:tcPr>
          <w:p w14:paraId="1ABED884" w14:textId="73A3F6B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顧客検証</w:t>
            </w:r>
          </w:p>
        </w:tc>
        <w:tc>
          <w:tcPr>
            <w:tcW w:w="1310" w:type="dxa"/>
            <w:vAlign w:val="center"/>
          </w:tcPr>
          <w:p w14:paraId="2684F89A" w14:textId="743DD7E6"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0件（未確認）</w:t>
            </w:r>
          </w:p>
        </w:tc>
        <w:tc>
          <w:tcPr>
            <w:tcW w:w="2152" w:type="dxa"/>
            <w:vAlign w:val="center"/>
          </w:tcPr>
          <w:p w14:paraId="5641EBB5" w14:textId="5908148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実証意向</w:t>
            </w:r>
            <w:r w:rsidRPr="00052C77">
              <w:rPr>
                <w:rFonts w:ascii="IPAexゴシック" w:eastAsia="IPAexゴシック" w:hAnsi="IPAexゴシック"/>
                <w:color w:val="000000"/>
              </w:rPr>
              <w:t>2件、実機PoC 1件</w:t>
            </w:r>
          </w:p>
        </w:tc>
        <w:tc>
          <w:tcPr>
            <w:tcW w:w="3274" w:type="dxa"/>
            <w:vAlign w:val="center"/>
          </w:tcPr>
          <w:p w14:paraId="39FC6EB3" w14:textId="0697574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対象作業と評価</w:t>
            </w:r>
            <w:r w:rsidRPr="00052C77">
              <w:rPr>
                <w:rFonts w:ascii="IPAexゴシック" w:eastAsia="IPAexゴシック" w:hAnsi="IPAexゴシック"/>
                <w:color w:val="000000"/>
              </w:rPr>
              <w:t>KPIを文書化</w:t>
            </w:r>
          </w:p>
        </w:tc>
      </w:tr>
    </w:tbl>
    <w:p w14:paraId="510D96EE" w14:textId="77777777" w:rsidR="00052C77" w:rsidRDefault="00052C77" w:rsidP="007C0BB8">
      <w:pPr>
        <w:spacing w:line="360" w:lineRule="exact"/>
        <w:ind w:firstLineChars="100" w:firstLine="210"/>
        <w:rPr>
          <w:rFonts w:ascii="IPAexゴシック" w:eastAsia="IPAexゴシック" w:hAnsi="IPAexゴシック"/>
          <w:color w:val="002060"/>
        </w:rPr>
      </w:pPr>
    </w:p>
    <w:p w14:paraId="2839C5AC" w14:textId="660DC41B"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b/>
          <w:color w:val="000000"/>
        </w:rPr>
        <w:br w:type="page"/>
      </w:r>
      <w:r w:rsidRPr="00052C77">
        <w:rPr>
          <w:rFonts w:ascii="IPAexゴシック" w:eastAsia="IPAexゴシック" w:hAnsi="IPAexゴシック" w:hint="eastAsia"/>
          <w:b/>
          <w:color w:val="000000"/>
        </w:rPr>
        <w:lastRenderedPageBreak/>
        <w:t>②開発に関する未踏性の主張、期待される効果など</w:t>
      </w:r>
    </w:p>
    <w:p w14:paraId="7A33F6AE" w14:textId="368B5C6F"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技術的な核</w:t>
      </w:r>
    </w:p>
    <w:p w14:paraId="2F20E996" w14:textId="586E4D1F" w:rsidR="00052C77" w:rsidRPr="00052C77" w:rsidRDefault="00052C77" w:rsidP="00052C77">
      <w:pPr>
        <w:widowControl/>
        <w:numPr>
          <w:ilvl w:val="0"/>
          <w:numId w:val="3"/>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音声・意味・行為の</w:t>
      </w:r>
      <w:r w:rsidRPr="00052C77">
        <w:rPr>
          <w:rFonts w:ascii="IPAexゴシック" w:eastAsia="IPAexゴシック" w:hAnsi="IPAexゴシック"/>
          <w:color w:val="000000"/>
        </w:rPr>
        <w:t>Streaming IR：未確定の部分音声、話者、確信度、対象候補、AI発話状態、機器状態を同じ時間軸で更新する。</w:t>
      </w:r>
    </w:p>
    <w:p w14:paraId="595D5341" w14:textId="27340938" w:rsidR="00052C77" w:rsidRPr="00052C77" w:rsidRDefault="00052C77" w:rsidP="00052C77">
      <w:pPr>
        <w:widowControl/>
        <w:numPr>
          <w:ilvl w:val="0"/>
          <w:numId w:val="3"/>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行為契約：「停止は</w:t>
      </w:r>
      <w:r w:rsidRPr="00052C77">
        <w:rPr>
          <w:rFonts w:ascii="IPAexゴシック" w:eastAsia="IPAexゴシック" w:hAnsi="IPAexゴシック"/>
          <w:color w:val="000000"/>
        </w:rPr>
        <w:t>100ms以内」「対象変更は再確認」「通信断時は減速」のように、期限、危険度、確認条件、縮退動作を機器非依存の形式で記述する。</w:t>
      </w:r>
    </w:p>
    <w:p w14:paraId="7F51F857" w14:textId="18DBBBC8" w:rsidR="00052C77" w:rsidRPr="00052C77" w:rsidRDefault="00052C77" w:rsidP="00052C77">
      <w:pPr>
        <w:widowControl/>
        <w:numPr>
          <w:ilvl w:val="0"/>
          <w:numId w:val="3"/>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端末上</w:t>
      </w:r>
      <w:r w:rsidRPr="00052C77">
        <w:rPr>
          <w:rFonts w:ascii="IPAexゴシック" w:eastAsia="IPAexゴシック" w:hAnsi="IPAexゴシック"/>
          <w:color w:val="000000"/>
        </w:rPr>
        <w:t>Safety Monitor：クラウドAIの出力をそのまま信頼せず、行為契約を決定論的に評価して停止、減速、保留等の制御イベントを発行する。</w:t>
      </w:r>
    </w:p>
    <w:p w14:paraId="149A9767" w14:textId="1313461F" w:rsidR="00052C77" w:rsidRPr="00052C77" w:rsidRDefault="00052C77" w:rsidP="00052C77">
      <w:pPr>
        <w:widowControl/>
        <w:numPr>
          <w:ilvl w:val="0"/>
          <w:numId w:val="3"/>
        </w:numPr>
        <w:spacing w:after="30" w:line="300" w:lineRule="exact"/>
        <w:jc w:val="left"/>
        <w:rPr>
          <w:rFonts w:ascii="IPAexゴシック" w:eastAsia="IPAexゴシック" w:hAnsi="IPAexゴシック" w:hint="eastAsia"/>
          <w:color w:val="000000"/>
        </w:rPr>
      </w:pPr>
      <w:r w:rsidRPr="00052C77">
        <w:rPr>
          <w:rFonts w:ascii="IPAexゴシック" w:eastAsia="IPAexゴシック" w:hAnsi="IPAexゴシック" w:hint="eastAsia"/>
          <w:color w:val="000000"/>
        </w:rPr>
        <w:t>投機的訂正と確定処理の統合：部分発話で安全側へ一時遷移し、後続発話で対象変更や再開条件を確定する。</w:t>
      </w:r>
    </w:p>
    <w:p w14:paraId="718FBB41" w14:textId="37362572" w:rsidR="00052C77" w:rsidRPr="00052C77" w:rsidRDefault="00052C77" w:rsidP="00052C77">
      <w:pPr>
        <w:widowControl/>
        <w:numPr>
          <w:ilvl w:val="0"/>
          <w:numId w:val="3"/>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再現可能な</w:t>
      </w:r>
      <w:r w:rsidRPr="00052C77">
        <w:rPr>
          <w:rFonts w:ascii="IPAexゴシック" w:eastAsia="IPAexゴシック" w:hAnsi="IPAexゴシック"/>
          <w:color w:val="000000"/>
        </w:rPr>
        <w:t>HIL評価：騒音、エコー、重複発話、複数話者、通信断、なりすましを含む失敗条件を事前登録し、2種類の機器で比較する。</w:t>
      </w:r>
    </w:p>
    <w:p w14:paraId="515ED0A7" w14:textId="1DAF7891"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最大の技術仮説</w:t>
      </w:r>
    </w:p>
    <w:p w14:paraId="77ACFC29" w14:textId="7960DDD3"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チームの仮説は、部分発話と行為状態を連続時間で統合し、端末上の行為契約へ照合すれば、クラウド</w:t>
      </w:r>
      <w:r w:rsidRPr="00052C77">
        <w:rPr>
          <w:rFonts w:ascii="IPAexゴシック" w:eastAsia="IPAexゴシック" w:hAnsi="IPAexゴシック"/>
          <w:color w:val="000000"/>
        </w:rPr>
        <w:t>LLMの応答を待たずに物理行為を安全側へ遷移させながら、その後の意味的な訂正まで完了できる、というものである。停止遅延だけを短くしても誤停止・見逃しが増える場合、または機器間で契約を再利用できない場合、この仮説は反証される。</w:t>
      </w:r>
    </w:p>
    <w:p w14:paraId="4E07A321" w14:textId="160A030E"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既存手段との違い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339"/>
        <w:gridCol w:w="2339"/>
        <w:gridCol w:w="2339"/>
        <w:gridCol w:w="2339"/>
      </w:tblGrid>
      <w:tr w:rsidR="00052C77" w14:paraId="2F833FBA" w14:textId="77777777" w:rsidTr="00052C77">
        <w:trPr>
          <w:tblHeader/>
        </w:trPr>
        <w:tc>
          <w:tcPr>
            <w:tcW w:w="2339" w:type="dxa"/>
            <w:shd w:val="clear" w:color="auto" w:fill="D9D9D9"/>
            <w:vAlign w:val="center"/>
          </w:tcPr>
          <w:p w14:paraId="7ED0DB90" w14:textId="7FE303A0"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比較軸</w:t>
            </w:r>
          </w:p>
        </w:tc>
        <w:tc>
          <w:tcPr>
            <w:tcW w:w="2339" w:type="dxa"/>
            <w:shd w:val="clear" w:color="auto" w:fill="D9D9D9"/>
            <w:vAlign w:val="center"/>
          </w:tcPr>
          <w:p w14:paraId="2D841D26" w14:textId="430F03FD"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本提案</w:t>
            </w:r>
          </w:p>
        </w:tc>
        <w:tc>
          <w:tcPr>
            <w:tcW w:w="2339" w:type="dxa"/>
            <w:shd w:val="clear" w:color="auto" w:fill="D9D9D9"/>
            <w:vAlign w:val="center"/>
          </w:tcPr>
          <w:p w14:paraId="405EFBC5" w14:textId="3218EC49"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b/>
                <w:color w:val="000000"/>
              </w:rPr>
              <w:t>ASR→LLM→制御</w:t>
            </w:r>
          </w:p>
        </w:tc>
        <w:tc>
          <w:tcPr>
            <w:tcW w:w="2339" w:type="dxa"/>
            <w:shd w:val="clear" w:color="auto" w:fill="D9D9D9"/>
            <w:vAlign w:val="center"/>
          </w:tcPr>
          <w:p w14:paraId="16ED7A8D" w14:textId="012D6B2A"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物理非常停止</w:t>
            </w:r>
          </w:p>
        </w:tc>
      </w:tr>
      <w:tr w:rsidR="00052C77" w14:paraId="60478778" w14:textId="77777777" w:rsidTr="00052C77">
        <w:tc>
          <w:tcPr>
            <w:tcW w:w="2339" w:type="dxa"/>
            <w:vAlign w:val="center"/>
          </w:tcPr>
          <w:p w14:paraId="59308781" w14:textId="4674D80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部分発話中の停止</w:t>
            </w:r>
          </w:p>
        </w:tc>
        <w:tc>
          <w:tcPr>
            <w:tcW w:w="2339" w:type="dxa"/>
            <w:vAlign w:val="center"/>
          </w:tcPr>
          <w:p w14:paraId="35CB3DE6" w14:textId="0B90D0CD"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行為状態と統合して扱う</w:t>
            </w:r>
          </w:p>
        </w:tc>
        <w:tc>
          <w:tcPr>
            <w:tcW w:w="2339" w:type="dxa"/>
            <w:vAlign w:val="center"/>
          </w:tcPr>
          <w:p w14:paraId="511278D2" w14:textId="4DA70D42"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原則、認識・解釈完了待ち</w:t>
            </w:r>
          </w:p>
        </w:tc>
        <w:tc>
          <w:tcPr>
            <w:tcW w:w="2339" w:type="dxa"/>
            <w:vAlign w:val="center"/>
          </w:tcPr>
          <w:p w14:paraId="4CB1E914" w14:textId="1CB46D1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ボタン操作で可能</w:t>
            </w:r>
          </w:p>
        </w:tc>
      </w:tr>
      <w:tr w:rsidR="00052C77" w14:paraId="6B70334E" w14:textId="77777777" w:rsidTr="00052C77">
        <w:tc>
          <w:tcPr>
            <w:tcW w:w="2339" w:type="dxa"/>
            <w:vAlign w:val="center"/>
          </w:tcPr>
          <w:p w14:paraId="3324F351" w14:textId="50C9526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意味を伴う訂正</w:t>
            </w:r>
          </w:p>
        </w:tc>
        <w:tc>
          <w:tcPr>
            <w:tcW w:w="2339" w:type="dxa"/>
            <w:vAlign w:val="center"/>
          </w:tcPr>
          <w:p w14:paraId="2B973368" w14:textId="566B5E2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対象変更・条件変更を契約で扱う</w:t>
            </w:r>
          </w:p>
        </w:tc>
        <w:tc>
          <w:tcPr>
            <w:tcW w:w="2339" w:type="dxa"/>
            <w:vAlign w:val="center"/>
          </w:tcPr>
          <w:p w14:paraId="629BF379" w14:textId="70091B52"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LLM解釈に依存</w:t>
            </w:r>
          </w:p>
        </w:tc>
        <w:tc>
          <w:tcPr>
            <w:tcW w:w="2339" w:type="dxa"/>
            <w:vAlign w:val="center"/>
          </w:tcPr>
          <w:p w14:paraId="13D848DE" w14:textId="286A085C"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扱わない</w:t>
            </w:r>
          </w:p>
        </w:tc>
      </w:tr>
      <w:tr w:rsidR="00052C77" w14:paraId="0E5CBB16" w14:textId="77777777" w:rsidTr="00052C77">
        <w:tc>
          <w:tcPr>
            <w:tcW w:w="2339" w:type="dxa"/>
            <w:vAlign w:val="center"/>
          </w:tcPr>
          <w:p w14:paraId="4A6D1C30" w14:textId="06CF76BC"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クラウド断</w:t>
            </w:r>
          </w:p>
        </w:tc>
        <w:tc>
          <w:tcPr>
            <w:tcW w:w="2339" w:type="dxa"/>
            <w:vAlign w:val="center"/>
          </w:tcPr>
          <w:p w14:paraId="56DF4A28" w14:textId="600ABE72"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安全経路は端末内で継続</w:t>
            </w:r>
          </w:p>
        </w:tc>
        <w:tc>
          <w:tcPr>
            <w:tcW w:w="2339" w:type="dxa"/>
            <w:vAlign w:val="center"/>
          </w:tcPr>
          <w:p w14:paraId="4F2CCFE0" w14:textId="1739057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構成に依存</w:t>
            </w:r>
          </w:p>
        </w:tc>
        <w:tc>
          <w:tcPr>
            <w:tcW w:w="2339" w:type="dxa"/>
            <w:vAlign w:val="center"/>
          </w:tcPr>
          <w:p w14:paraId="052F9B12" w14:textId="0192745B"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継続</w:t>
            </w:r>
          </w:p>
        </w:tc>
      </w:tr>
      <w:tr w:rsidR="00052C77" w14:paraId="3331A521" w14:textId="77777777" w:rsidTr="00052C77">
        <w:tc>
          <w:tcPr>
            <w:tcW w:w="2339" w:type="dxa"/>
            <w:vAlign w:val="center"/>
          </w:tcPr>
          <w:p w14:paraId="168201A7" w14:textId="6A86724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決定論的期限</w:t>
            </w:r>
          </w:p>
        </w:tc>
        <w:tc>
          <w:tcPr>
            <w:tcW w:w="2339" w:type="dxa"/>
            <w:vAlign w:val="center"/>
          </w:tcPr>
          <w:p w14:paraId="14862229" w14:textId="42DB79AB"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行為契約で明示</w:t>
            </w:r>
          </w:p>
        </w:tc>
        <w:tc>
          <w:tcPr>
            <w:tcW w:w="2339" w:type="dxa"/>
            <w:vAlign w:val="center"/>
          </w:tcPr>
          <w:p w14:paraId="78D94519" w14:textId="78D772E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原則保証なし</w:t>
            </w:r>
          </w:p>
        </w:tc>
        <w:tc>
          <w:tcPr>
            <w:tcW w:w="2339" w:type="dxa"/>
            <w:vAlign w:val="center"/>
          </w:tcPr>
          <w:p w14:paraId="423CD7DA" w14:textId="7C60FE2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機器仕様で保証</w:t>
            </w:r>
          </w:p>
        </w:tc>
      </w:tr>
      <w:tr w:rsidR="00052C77" w14:paraId="7E1B7EF9" w14:textId="77777777" w:rsidTr="00052C77">
        <w:tc>
          <w:tcPr>
            <w:tcW w:w="2339" w:type="dxa"/>
            <w:vAlign w:val="center"/>
          </w:tcPr>
          <w:p w14:paraId="1298C226" w14:textId="3004364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主な弱点</w:t>
            </w:r>
          </w:p>
        </w:tc>
        <w:tc>
          <w:tcPr>
            <w:tcW w:w="2339" w:type="dxa"/>
            <w:vAlign w:val="center"/>
          </w:tcPr>
          <w:p w14:paraId="095CF982" w14:textId="2CA4111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誤検知と意味曖昧性</w:t>
            </w:r>
          </w:p>
        </w:tc>
        <w:tc>
          <w:tcPr>
            <w:tcW w:w="2339" w:type="dxa"/>
            <w:vAlign w:val="center"/>
          </w:tcPr>
          <w:p w14:paraId="4EDCB190" w14:textId="2D30BFD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遅延と不確実性</w:t>
            </w:r>
          </w:p>
        </w:tc>
        <w:tc>
          <w:tcPr>
            <w:tcW w:w="2339" w:type="dxa"/>
            <w:vAlign w:val="center"/>
          </w:tcPr>
          <w:p w14:paraId="0394CA24" w14:textId="423CEAE2"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柔軟な訂正ができない</w:t>
            </w:r>
          </w:p>
        </w:tc>
      </w:tr>
    </w:tbl>
    <w:p w14:paraId="12C68701" w14:textId="77777777" w:rsidR="00052C77" w:rsidRDefault="00052C77" w:rsidP="00052C77">
      <w:pPr>
        <w:spacing w:after="40" w:line="100" w:lineRule="exact"/>
        <w:ind w:firstLineChars="100" w:firstLine="210"/>
        <w:rPr>
          <w:rFonts w:ascii="IPAexゴシック" w:eastAsia="IPAexゴシック" w:hAnsi="IPAexゴシック"/>
          <w:color w:val="000000"/>
        </w:rPr>
      </w:pPr>
    </w:p>
    <w:p w14:paraId="792018C8" w14:textId="0EE95538"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直近の未踏アドバンストにはエージェンティック音声入力と物理</w:t>
      </w:r>
      <w:r w:rsidRPr="00052C77">
        <w:rPr>
          <w:rFonts w:ascii="IPAexゴシック" w:eastAsia="IPAexゴシック" w:hAnsi="IPAexゴシック"/>
          <w:color w:val="000000"/>
        </w:rPr>
        <w:t>AI基盤の近接案件がある。本提案は、文書入力や実行前後の説明責任ではなく、不可逆な物理行為を実行中に中断・訂正する制御意味論、端末ランタイム、失敗ベンチマークを中心にする。生成AIの薄いラッパーではなく、Streaming IR、行為契約、Safety Monitor、HIL試験系を自作範囲とする。</w:t>
      </w:r>
    </w:p>
    <w:p w14:paraId="7A9B5AC6" w14:textId="34F648A1"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期待される効果</w:t>
      </w:r>
    </w:p>
    <w:p w14:paraId="1330D8F4" w14:textId="53FFB812" w:rsidR="00052C77" w:rsidRPr="00052C77" w:rsidRDefault="00052C77" w:rsidP="00052C77">
      <w:pPr>
        <w:widowControl/>
        <w:numPr>
          <w:ilvl w:val="0"/>
          <w:numId w:val="4"/>
        </w:numPr>
        <w:spacing w:after="30" w:line="300" w:lineRule="exact"/>
        <w:jc w:val="left"/>
        <w:rPr>
          <w:rFonts w:ascii="IPAexゴシック" w:eastAsia="IPAexゴシック" w:hAnsi="IPAexゴシック" w:hint="eastAsia"/>
          <w:color w:val="000000"/>
        </w:rPr>
      </w:pPr>
      <w:r w:rsidRPr="00052C77">
        <w:rPr>
          <w:rFonts w:ascii="IPAexゴシック" w:eastAsia="IPAexゴシック" w:hAnsi="IPAexゴシック" w:hint="eastAsia"/>
          <w:color w:val="000000"/>
        </w:rPr>
        <w:t>機器企業が自然言語操作を導入する際、個別に音声安全層と失敗試験を作り直す工数を減らす。</w:t>
      </w:r>
    </w:p>
    <w:p w14:paraId="45091055" w14:textId="55281221" w:rsidR="00052C77" w:rsidRPr="00052C77" w:rsidRDefault="00052C77" w:rsidP="00052C77">
      <w:pPr>
        <w:widowControl/>
        <w:numPr>
          <w:ilvl w:val="0"/>
          <w:numId w:val="4"/>
        </w:numPr>
        <w:spacing w:after="30" w:line="300" w:lineRule="exact"/>
        <w:jc w:val="left"/>
        <w:rPr>
          <w:rFonts w:ascii="IPAexゴシック" w:eastAsia="IPAexゴシック" w:hAnsi="IPAexゴシック" w:hint="eastAsia"/>
          <w:color w:val="000000"/>
        </w:rPr>
      </w:pPr>
      <w:r w:rsidRPr="00052C77">
        <w:rPr>
          <w:rFonts w:ascii="IPAexゴシック" w:eastAsia="IPAexゴシック" w:hAnsi="IPAexゴシック" w:hint="eastAsia"/>
          <w:color w:val="000000"/>
        </w:rPr>
        <w:t>ロボット、移動機器、遠隔操作、スマート設備へ共通の委任・撤回プリミティブを提供する。</w:t>
      </w:r>
    </w:p>
    <w:p w14:paraId="75E9E7A6" w14:textId="1E5B9AE2" w:rsidR="00052C77" w:rsidRPr="00052C77" w:rsidRDefault="00052C77" w:rsidP="00052C77">
      <w:pPr>
        <w:widowControl/>
        <w:numPr>
          <w:ilvl w:val="0"/>
          <w:numId w:val="4"/>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color w:val="000000"/>
        </w:rPr>
        <w:t>AIが誤らないことを前提にせず、人間が実行中でも介入権を保持できる設計へ移行する。</w:t>
      </w:r>
    </w:p>
    <w:p w14:paraId="459B5A9E" w14:textId="53764130"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主な情報源（確認日</w:t>
      </w:r>
      <w:r w:rsidRPr="00052C77">
        <w:rPr>
          <w:rFonts w:ascii="IPAexゴシック" w:eastAsia="IPAexゴシック" w:hAnsi="IPAexゴシック"/>
          <w:color w:val="000000"/>
        </w:rPr>
        <w:t>2026-08-12</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13）：Moshi 2024 https://arxiv.org/abs/2410.00037 、Instruct-FD 2026 https://arxiv.org/abs/2607.20460 、IPA 2026年度上期エージェンティック音声入力 https://www.ipa.go.jp/jinzai/mitou/advanced/2026first/gaiyou-fj-2.html 、IPA 2026年度上期物理AI基盤 https://www.ipa.go.jp/jinzai/mitou/advanced/2026first/gaiyou-kj-2.html</w:t>
      </w:r>
    </w:p>
    <w:p w14:paraId="3F6D2240" w14:textId="0393455C"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b/>
          <w:color w:val="000000"/>
        </w:rPr>
        <w:br w:type="page"/>
      </w:r>
      <w:r w:rsidRPr="00052C77">
        <w:rPr>
          <w:rFonts w:ascii="IPAexゴシック" w:eastAsia="IPAexゴシック" w:hAnsi="IPAexゴシック" w:hint="eastAsia"/>
          <w:b/>
          <w:color w:val="000000"/>
        </w:rPr>
        <w:lastRenderedPageBreak/>
        <w:t>③開発の具体的な進め方</w:t>
      </w:r>
    </w:p>
    <w:p w14:paraId="65558766" w14:textId="1D3838D6"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システム構成</w:t>
      </w:r>
    </w:p>
    <w:p w14:paraId="5BD60AB6" w14:textId="0483BD88"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マイク音声・</w:t>
      </w:r>
      <w:r w:rsidRPr="00052C77">
        <w:rPr>
          <w:rFonts w:ascii="IPAexゴシック" w:eastAsia="IPAexゴシック" w:hAnsi="IPAexゴシック"/>
          <w:color w:val="000000"/>
        </w:rPr>
        <w:t>AI発話状態・機器状態 → Streaming IR → 部分意図・話者・対象推定 → 行為契約を評価する端末上Safety Monitor → 機器アダプタ → ロボット／物理機器、という安全経路を構成する。高知能AI経路は確認・訂正内容の解釈を担うが、期限付き停止は高知能AIの応答を待たない。全判断、入力時刻、機器状態、縮退動作を監査ログへ残す。</w:t>
      </w:r>
    </w:p>
    <w:p w14:paraId="31682A29" w14:textId="04263AF8"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開発項目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058"/>
        <w:gridCol w:w="4116"/>
        <w:gridCol w:w="3181"/>
      </w:tblGrid>
      <w:tr w:rsidR="00052C77" w14:paraId="63C10ECE" w14:textId="77777777" w:rsidTr="00052C77">
        <w:trPr>
          <w:tblHeader/>
        </w:trPr>
        <w:tc>
          <w:tcPr>
            <w:tcW w:w="2058" w:type="dxa"/>
            <w:shd w:val="clear" w:color="auto" w:fill="D9D9D9"/>
            <w:vAlign w:val="center"/>
          </w:tcPr>
          <w:p w14:paraId="149C0E88" w14:textId="298AC816"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開発項目</w:t>
            </w:r>
          </w:p>
        </w:tc>
        <w:tc>
          <w:tcPr>
            <w:tcW w:w="4116" w:type="dxa"/>
            <w:shd w:val="clear" w:color="auto" w:fill="D9D9D9"/>
            <w:vAlign w:val="center"/>
          </w:tcPr>
          <w:p w14:paraId="41E63167" w14:textId="4C2AB04F"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内容</w:t>
            </w:r>
          </w:p>
        </w:tc>
        <w:tc>
          <w:tcPr>
            <w:tcW w:w="3181" w:type="dxa"/>
            <w:shd w:val="clear" w:color="auto" w:fill="D9D9D9"/>
            <w:vAlign w:val="center"/>
          </w:tcPr>
          <w:p w14:paraId="37020686" w14:textId="1CBAA902"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成果物・合格条件</w:t>
            </w:r>
          </w:p>
        </w:tc>
      </w:tr>
      <w:tr w:rsidR="00052C77" w14:paraId="519C3424" w14:textId="77777777" w:rsidTr="00052C77">
        <w:tc>
          <w:tcPr>
            <w:tcW w:w="2058" w:type="dxa"/>
            <w:vAlign w:val="center"/>
          </w:tcPr>
          <w:p w14:paraId="0061E3A9" w14:textId="3FF2713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Streaming IRと日本語訂正データ</w:t>
            </w:r>
          </w:p>
        </w:tc>
        <w:tc>
          <w:tcPr>
            <w:tcW w:w="4116" w:type="dxa"/>
            <w:vAlign w:val="center"/>
          </w:tcPr>
          <w:p w14:paraId="4667704F" w14:textId="52ED38D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部分音声、重複発話、話者、対象、行為状態を時刻同期する</w:t>
            </w:r>
          </w:p>
        </w:tc>
        <w:tc>
          <w:tcPr>
            <w:tcW w:w="3181" w:type="dxa"/>
            <w:vAlign w:val="center"/>
          </w:tcPr>
          <w:p w14:paraId="094C5D19" w14:textId="71AB9535"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スキーマ、実装、データ。主要シナリオを欠落なく表現</w:t>
            </w:r>
          </w:p>
        </w:tc>
      </w:tr>
      <w:tr w:rsidR="00052C77" w14:paraId="2E09EDA8" w14:textId="77777777" w:rsidTr="00052C77">
        <w:tc>
          <w:tcPr>
            <w:tcW w:w="2058" w:type="dxa"/>
            <w:vAlign w:val="center"/>
          </w:tcPr>
          <w:p w14:paraId="70891B6C" w14:textId="20F7753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行為契約と</w:t>
            </w:r>
            <w:r w:rsidRPr="00052C77">
              <w:rPr>
                <w:rFonts w:ascii="IPAexゴシック" w:eastAsia="IPAexゴシック" w:hAnsi="IPAexゴシック"/>
                <w:color w:val="000000"/>
              </w:rPr>
              <w:t>Safety Monitor</w:t>
            </w:r>
          </w:p>
        </w:tc>
        <w:tc>
          <w:tcPr>
            <w:tcW w:w="4116" w:type="dxa"/>
            <w:vAlign w:val="center"/>
          </w:tcPr>
          <w:p w14:paraId="56EDEFF9" w14:textId="5057A72D"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期限、危険度、確認、縮退動作を記述・決定論評価する</w:t>
            </w:r>
          </w:p>
        </w:tc>
        <w:tc>
          <w:tcPr>
            <w:tcW w:w="3181" w:type="dxa"/>
            <w:vAlign w:val="center"/>
          </w:tcPr>
          <w:p w14:paraId="011C1979" w14:textId="4DB5430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契約言語、端末ランタイム。通信断でも期限内停止</w:t>
            </w:r>
          </w:p>
        </w:tc>
      </w:tr>
      <w:tr w:rsidR="00052C77" w14:paraId="5D5A9777" w14:textId="77777777" w:rsidTr="00052C77">
        <w:tc>
          <w:tcPr>
            <w:tcW w:w="2058" w:type="dxa"/>
            <w:vAlign w:val="center"/>
          </w:tcPr>
          <w:p w14:paraId="4DEF1070" w14:textId="3DD99A5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部分意図推定</w:t>
            </w:r>
          </w:p>
        </w:tc>
        <w:tc>
          <w:tcPr>
            <w:tcW w:w="4116" w:type="dxa"/>
            <w:vAlign w:val="center"/>
          </w:tcPr>
          <w:p w14:paraId="675665D3" w14:textId="6003E9C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騒音・エコー・重複発話下で停止・訂正候補を推定する</w:t>
            </w:r>
          </w:p>
        </w:tc>
        <w:tc>
          <w:tcPr>
            <w:tcW w:w="3181" w:type="dxa"/>
            <w:vAlign w:val="center"/>
          </w:tcPr>
          <w:p w14:paraId="788D3C98" w14:textId="112C6B23"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推定モデル。見逃し・誤停止を事前登録条件で報告</w:t>
            </w:r>
          </w:p>
        </w:tc>
      </w:tr>
      <w:tr w:rsidR="00052C77" w14:paraId="7550DBFF" w14:textId="77777777" w:rsidTr="00052C77">
        <w:tc>
          <w:tcPr>
            <w:tcW w:w="2058" w:type="dxa"/>
            <w:vAlign w:val="center"/>
          </w:tcPr>
          <w:p w14:paraId="7771A0FF" w14:textId="7016CA25"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機器アダプタ</w:t>
            </w:r>
          </w:p>
        </w:tc>
        <w:tc>
          <w:tcPr>
            <w:tcW w:w="4116" w:type="dxa"/>
            <w:vAlign w:val="center"/>
          </w:tcPr>
          <w:p w14:paraId="5D3A3EA3" w14:textId="3555E2A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共通制御イベントを機器固有の停止・減速へ変換する</w:t>
            </w:r>
          </w:p>
        </w:tc>
        <w:tc>
          <w:tcPr>
            <w:tcW w:w="3181" w:type="dxa"/>
            <w:vAlign w:val="center"/>
          </w:tcPr>
          <w:p w14:paraId="1E81D18D" w14:textId="3AE417A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2種類のアダプタ。契約本体を変更せず移植</w:t>
            </w:r>
          </w:p>
        </w:tc>
      </w:tr>
      <w:tr w:rsidR="00052C77" w14:paraId="41DF2B3E" w14:textId="77777777" w:rsidTr="00052C77">
        <w:tc>
          <w:tcPr>
            <w:tcW w:w="2058" w:type="dxa"/>
            <w:vAlign w:val="center"/>
          </w:tcPr>
          <w:p w14:paraId="3A14B44E" w14:textId="5B6B267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HIL評価ハーネス</w:t>
            </w:r>
          </w:p>
        </w:tc>
        <w:tc>
          <w:tcPr>
            <w:tcW w:w="4116" w:type="dxa"/>
            <w:vAlign w:val="center"/>
          </w:tcPr>
          <w:p w14:paraId="4755F91D" w14:textId="38B0BA0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音声・通信・機器状態の失敗を再現する</w:t>
            </w:r>
          </w:p>
        </w:tc>
        <w:tc>
          <w:tcPr>
            <w:tcW w:w="3181" w:type="dxa"/>
            <w:vAlign w:val="center"/>
          </w:tcPr>
          <w:p w14:paraId="4842B323" w14:textId="6EDD0A2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ベンチ、失敗動画、比較レポート</w:t>
            </w:r>
          </w:p>
        </w:tc>
      </w:tr>
    </w:tbl>
    <w:p w14:paraId="22BE52E7" w14:textId="77777777" w:rsidR="00052C77" w:rsidRDefault="00052C77" w:rsidP="00052C77">
      <w:pPr>
        <w:spacing w:after="40" w:line="100" w:lineRule="exact"/>
        <w:ind w:firstLineChars="100" w:firstLine="210"/>
        <w:rPr>
          <w:rFonts w:ascii="IPAexゴシック" w:eastAsia="IPAexゴシック" w:hAnsi="IPAexゴシック"/>
          <w:color w:val="000000"/>
        </w:rPr>
      </w:pPr>
    </w:p>
    <w:p w14:paraId="781BF6BA" w14:textId="63D52B1D" w:rsidR="00052C77" w:rsidRPr="00052C77" w:rsidRDefault="00052C77" w:rsidP="00052C77">
      <w:pPr>
        <w:keepNext/>
        <w:widowControl/>
        <w:spacing w:before="120" w:after="40" w:line="310" w:lineRule="exact"/>
        <w:jc w:val="left"/>
        <w:rPr>
          <w:rFonts w:ascii="IPAexゴシック" w:eastAsia="IPAexゴシック" w:hAnsi="IPAexゴシック"/>
          <w:b/>
          <w:color w:val="000000"/>
        </w:rPr>
      </w:pPr>
      <w:r w:rsidRPr="00052C77">
        <w:rPr>
          <w:rFonts w:ascii="IPAexゴシック" w:eastAsia="IPAexゴシック" w:hAnsi="IPAexゴシック"/>
          <w:b/>
          <w:color w:val="000000"/>
        </w:rPr>
        <w:t>8か月の開発計画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310"/>
        <w:gridCol w:w="3181"/>
        <w:gridCol w:w="2526"/>
        <w:gridCol w:w="2339"/>
      </w:tblGrid>
      <w:tr w:rsidR="00052C77" w14:paraId="3F994CED" w14:textId="77777777" w:rsidTr="00052C77">
        <w:trPr>
          <w:tblHeader/>
        </w:trPr>
        <w:tc>
          <w:tcPr>
            <w:tcW w:w="1310" w:type="dxa"/>
            <w:shd w:val="clear" w:color="auto" w:fill="D9D9D9"/>
            <w:vAlign w:val="center"/>
          </w:tcPr>
          <w:p w14:paraId="6568A71A" w14:textId="7995736C"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期間</w:t>
            </w:r>
          </w:p>
        </w:tc>
        <w:tc>
          <w:tcPr>
            <w:tcW w:w="3181" w:type="dxa"/>
            <w:shd w:val="clear" w:color="auto" w:fill="D9D9D9"/>
            <w:vAlign w:val="center"/>
          </w:tcPr>
          <w:p w14:paraId="7ADF8422" w14:textId="7579EEF1"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開発内容</w:t>
            </w:r>
          </w:p>
        </w:tc>
        <w:tc>
          <w:tcPr>
            <w:tcW w:w="2526" w:type="dxa"/>
            <w:shd w:val="clear" w:color="auto" w:fill="D9D9D9"/>
            <w:vAlign w:val="center"/>
          </w:tcPr>
          <w:p w14:paraId="6BDCF792" w14:textId="61D0855D"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マイルストーン</w:t>
            </w:r>
          </w:p>
        </w:tc>
        <w:tc>
          <w:tcPr>
            <w:tcW w:w="2339" w:type="dxa"/>
            <w:shd w:val="clear" w:color="auto" w:fill="D9D9D9"/>
            <w:vAlign w:val="center"/>
          </w:tcPr>
          <w:p w14:paraId="1712998C" w14:textId="17993DB2"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評価・顧客検証</w:t>
            </w:r>
          </w:p>
        </w:tc>
      </w:tr>
      <w:tr w:rsidR="00052C77" w14:paraId="0791317C" w14:textId="77777777" w:rsidTr="00052C77">
        <w:tc>
          <w:tcPr>
            <w:tcW w:w="1310" w:type="dxa"/>
            <w:vAlign w:val="center"/>
          </w:tcPr>
          <w:p w14:paraId="7728FB5B" w14:textId="625A5FB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1</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2か月目</w:t>
            </w:r>
          </w:p>
        </w:tc>
        <w:tc>
          <w:tcPr>
            <w:tcW w:w="3181" w:type="dxa"/>
            <w:vAlign w:val="center"/>
          </w:tcPr>
          <w:p w14:paraId="7A3FDB66" w14:textId="27A2B51B"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対象作業固定、</w:t>
            </w:r>
            <w:r w:rsidRPr="00052C77">
              <w:rPr>
                <w:rFonts w:ascii="IPAexゴシック" w:eastAsia="IPAexゴシック" w:hAnsi="IPAexゴシック"/>
                <w:color w:val="000000"/>
              </w:rPr>
              <w:t>20以上の失敗シナリオ、Streaming IR、単一機器アダプタ</w:t>
            </w:r>
          </w:p>
        </w:tc>
        <w:tc>
          <w:tcPr>
            <w:tcW w:w="2526" w:type="dxa"/>
            <w:vAlign w:val="center"/>
          </w:tcPr>
          <w:p w14:paraId="7ED0D64E" w14:textId="3B4C041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期限内停止を行う</w:t>
            </w:r>
            <w:r w:rsidRPr="00052C77">
              <w:rPr>
                <w:rFonts w:ascii="IPAexゴシック" w:eastAsia="IPAexゴシック" w:hAnsi="IPAexゴシック"/>
                <w:color w:val="000000"/>
              </w:rPr>
              <w:t>v0</w:t>
            </w:r>
          </w:p>
        </w:tc>
        <w:tc>
          <w:tcPr>
            <w:tcW w:w="2339" w:type="dxa"/>
            <w:vAlign w:val="center"/>
          </w:tcPr>
          <w:p w14:paraId="2CBA7116" w14:textId="29DC265B"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ベースライン測定、設計パートナー</w:t>
            </w:r>
            <w:r w:rsidRPr="00052C77">
              <w:rPr>
                <w:rFonts w:ascii="IPAexゴシック" w:eastAsia="IPAexゴシック" w:hAnsi="IPAexゴシック"/>
                <w:color w:val="000000"/>
              </w:rPr>
              <w:t>2件</w:t>
            </w:r>
          </w:p>
        </w:tc>
      </w:tr>
      <w:tr w:rsidR="00052C77" w14:paraId="0AB1BBE2" w14:textId="77777777" w:rsidTr="00052C77">
        <w:tc>
          <w:tcPr>
            <w:tcW w:w="1310" w:type="dxa"/>
            <w:vAlign w:val="center"/>
          </w:tcPr>
          <w:p w14:paraId="68242960" w14:textId="35EA29A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3</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5か月目</w:t>
            </w:r>
          </w:p>
        </w:tc>
        <w:tc>
          <w:tcPr>
            <w:tcW w:w="3181" w:type="dxa"/>
            <w:vAlign w:val="center"/>
          </w:tcPr>
          <w:p w14:paraId="4E544514" w14:textId="73FFBD12"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行為契約、訂正・再開、端末実装、</w:t>
            </w:r>
            <w:r w:rsidRPr="00052C77">
              <w:rPr>
                <w:rFonts w:ascii="IPAexゴシック" w:eastAsia="IPAexゴシック" w:hAnsi="IPAexゴシック"/>
                <w:color w:val="000000"/>
              </w:rPr>
              <w:t>HIL失敗注入</w:t>
            </w:r>
          </w:p>
        </w:tc>
        <w:tc>
          <w:tcPr>
            <w:tcW w:w="2526" w:type="dxa"/>
            <w:vAlign w:val="center"/>
          </w:tcPr>
          <w:p w14:paraId="11EAFE1D" w14:textId="289AA56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停止・対象変更・再確認を含む</w:t>
            </w:r>
            <w:r w:rsidRPr="00052C77">
              <w:rPr>
                <w:rFonts w:ascii="IPAexゴシック" w:eastAsia="IPAexゴシック" w:hAnsi="IPAexゴシック"/>
                <w:color w:val="000000"/>
              </w:rPr>
              <w:t>v1</w:t>
            </w:r>
          </w:p>
        </w:tc>
        <w:tc>
          <w:tcPr>
            <w:tcW w:w="2339" w:type="dxa"/>
            <w:vAlign w:val="center"/>
          </w:tcPr>
          <w:p w14:paraId="7F235CF2" w14:textId="4FC880C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ASR→LLM方式との同条件比較</w:t>
            </w:r>
          </w:p>
        </w:tc>
      </w:tr>
      <w:tr w:rsidR="00052C77" w14:paraId="7A4D1116" w14:textId="77777777" w:rsidTr="00052C77">
        <w:tc>
          <w:tcPr>
            <w:tcW w:w="1310" w:type="dxa"/>
            <w:vAlign w:val="center"/>
          </w:tcPr>
          <w:p w14:paraId="5F818C44" w14:textId="0E82BDB2"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6</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8か月目</w:t>
            </w:r>
          </w:p>
        </w:tc>
        <w:tc>
          <w:tcPr>
            <w:tcW w:w="3181" w:type="dxa"/>
            <w:vAlign w:val="center"/>
          </w:tcPr>
          <w:p w14:paraId="07EEEB44" w14:textId="48B412C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2機器目へ移植、現場PoC、SDK・評価キット整備</w:t>
            </w:r>
          </w:p>
        </w:tc>
        <w:tc>
          <w:tcPr>
            <w:tcW w:w="2526" w:type="dxa"/>
            <w:vAlign w:val="center"/>
          </w:tcPr>
          <w:p w14:paraId="73C44C04" w14:textId="6D46AA08"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再現可能な</w:t>
            </w:r>
            <w:r w:rsidRPr="00052C77">
              <w:rPr>
                <w:rFonts w:ascii="IPAexゴシック" w:eastAsia="IPAexゴシック" w:hAnsi="IPAexゴシック"/>
                <w:color w:val="000000"/>
              </w:rPr>
              <w:t>v2と実機デモ</w:t>
            </w:r>
          </w:p>
        </w:tc>
        <w:tc>
          <w:tcPr>
            <w:tcW w:w="2339" w:type="dxa"/>
            <w:vAlign w:val="center"/>
          </w:tcPr>
          <w:p w14:paraId="4CA53E1F" w14:textId="5889C7C3"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実機</w:t>
            </w:r>
            <w:r w:rsidRPr="00052C77">
              <w:rPr>
                <w:rFonts w:ascii="IPAexゴシック" w:eastAsia="IPAexゴシック" w:hAnsi="IPAexゴシック"/>
                <w:color w:val="000000"/>
              </w:rPr>
              <w:t>PoC、外部開発者テスト</w:t>
            </w:r>
          </w:p>
        </w:tc>
      </w:tr>
    </w:tbl>
    <w:p w14:paraId="591FFC4D" w14:textId="77777777" w:rsidR="00052C77" w:rsidRDefault="00052C77" w:rsidP="00052C77">
      <w:pPr>
        <w:spacing w:after="40" w:line="100" w:lineRule="exact"/>
        <w:ind w:firstLineChars="100" w:firstLine="210"/>
        <w:rPr>
          <w:rFonts w:ascii="IPAexゴシック" w:eastAsia="IPAexゴシック" w:hAnsi="IPAexゴシック"/>
          <w:color w:val="000000"/>
        </w:rPr>
      </w:pPr>
    </w:p>
    <w:p w14:paraId="70446A93" w14:textId="0BB97CA5" w:rsidR="00052C77" w:rsidRPr="00052C77" w:rsidRDefault="00052C77" w:rsidP="00052C77">
      <w:pPr>
        <w:keepNext/>
        <w:widowControl/>
        <w:spacing w:before="120" w:after="40" w:line="310" w:lineRule="exact"/>
        <w:jc w:val="left"/>
        <w:rPr>
          <w:rFonts w:ascii="IPAexゴシック" w:eastAsia="IPAexゴシック" w:hAnsi="IPAexゴシック"/>
          <w:b/>
          <w:color w:val="000000"/>
        </w:rPr>
      </w:pPr>
      <w:r w:rsidRPr="00052C77">
        <w:rPr>
          <w:rFonts w:ascii="IPAexゴシック" w:eastAsia="IPAexゴシック" w:hAnsi="IPAexゴシック"/>
          <w:b/>
          <w:color w:val="000000"/>
        </w:rPr>
        <w:t>Go／No-Go</w:t>
      </w:r>
    </w:p>
    <w:p w14:paraId="312E373B" w14:textId="5509A454" w:rsidR="00052C77" w:rsidRPr="00052C77" w:rsidRDefault="00052C77" w:rsidP="00052C77">
      <w:pPr>
        <w:widowControl/>
        <w:numPr>
          <w:ilvl w:val="0"/>
          <w:numId w:val="5"/>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color w:val="000000"/>
        </w:rPr>
        <w:t>2か月目：停止遅延と見逃し率がベースラインを改善しなければ、意味的訂正より先に音響・端末経路を再設計する。</w:t>
      </w:r>
    </w:p>
    <w:p w14:paraId="7BAEA56C" w14:textId="2E207238" w:rsidR="00052C77" w:rsidRPr="00052C77" w:rsidRDefault="00052C77" w:rsidP="00052C77">
      <w:pPr>
        <w:widowControl/>
        <w:numPr>
          <w:ilvl w:val="0"/>
          <w:numId w:val="5"/>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color w:val="000000"/>
        </w:rPr>
        <w:t>4か月目：行為契約が一機器にしか適用できなければ、汎用SDKの主張を弱め、対象機器専用ランタイムへ範囲を縮小する。</w:t>
      </w:r>
    </w:p>
    <w:p w14:paraId="4EFF8EA6" w14:textId="524FF08D" w:rsidR="00052C77" w:rsidRPr="00052C77" w:rsidRDefault="00052C77" w:rsidP="00052C77">
      <w:pPr>
        <w:widowControl/>
        <w:numPr>
          <w:ilvl w:val="0"/>
          <w:numId w:val="5"/>
        </w:numPr>
        <w:spacing w:after="30" w:line="300" w:lineRule="exact"/>
        <w:jc w:val="left"/>
        <w:rPr>
          <w:rFonts w:ascii="IPAexゴシック" w:eastAsia="IPAexゴシック" w:hAnsi="IPAexゴシック"/>
          <w:color w:val="000000"/>
        </w:rPr>
      </w:pPr>
      <w:r w:rsidRPr="00052C77">
        <w:rPr>
          <w:rFonts w:ascii="IPAexゴシック" w:eastAsia="IPAexゴシック" w:hAnsi="IPAexゴシック"/>
          <w:color w:val="000000"/>
        </w:rPr>
        <w:t>6か月目：実証先が確保できない場合は公開可能な実機ベンチと第三者開発者評価を代替証拠とする。ただし応募前に最低一件の実証アクセスを優先して確保する。</w:t>
      </w:r>
    </w:p>
    <w:p w14:paraId="36C234CE" w14:textId="39C65368"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b/>
          <w:color w:val="000000"/>
        </w:rPr>
        <w:br w:type="page"/>
      </w:r>
      <w:r w:rsidRPr="00052C77">
        <w:rPr>
          <w:rFonts w:ascii="IPAexゴシック" w:eastAsia="IPAexゴシック" w:hAnsi="IPAexゴシック" w:hint="eastAsia"/>
          <w:b/>
          <w:color w:val="000000"/>
        </w:rPr>
        <w:lastRenderedPageBreak/>
        <w:t>④開発者の実力・能力を示す実績（スキル・経験・受賞歴等）及びそれに基づくプロジェクトの実現性</w:t>
      </w:r>
    </w:p>
    <w:p w14:paraId="60F42ED0" w14:textId="3D0FD2DD"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以下は</w:t>
      </w:r>
      <w:r w:rsidRPr="00052C77">
        <w:rPr>
          <w:rFonts w:ascii="IPAexゴシック" w:eastAsia="IPAexゴシック" w:hAnsi="IPAexゴシック"/>
          <w:color w:val="000000"/>
        </w:rPr>
        <w:t>2026-08-12時点の本人申告であり、応募前に正式所属、学年、研究テーマ、公開URL、受賞歴、稼働を本人確認する。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84"/>
        <w:gridCol w:w="3181"/>
        <w:gridCol w:w="3087"/>
        <w:gridCol w:w="1403"/>
      </w:tblGrid>
      <w:tr w:rsidR="00052C77" w14:paraId="425603CA" w14:textId="77777777" w:rsidTr="00052C77">
        <w:trPr>
          <w:tblHeader/>
        </w:trPr>
        <w:tc>
          <w:tcPr>
            <w:tcW w:w="1684" w:type="dxa"/>
            <w:shd w:val="clear" w:color="auto" w:fill="D9D9D9"/>
            <w:vAlign w:val="center"/>
          </w:tcPr>
          <w:p w14:paraId="51A566A9" w14:textId="2D38356F"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開発者</w:t>
            </w:r>
          </w:p>
        </w:tc>
        <w:tc>
          <w:tcPr>
            <w:tcW w:w="3181" w:type="dxa"/>
            <w:shd w:val="clear" w:color="auto" w:fill="D9D9D9"/>
            <w:vAlign w:val="center"/>
          </w:tcPr>
          <w:p w14:paraId="51604127" w14:textId="6066AF86"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本人申告の背景</w:t>
            </w:r>
          </w:p>
        </w:tc>
        <w:tc>
          <w:tcPr>
            <w:tcW w:w="3087" w:type="dxa"/>
            <w:shd w:val="clear" w:color="auto" w:fill="D9D9D9"/>
            <w:vAlign w:val="center"/>
          </w:tcPr>
          <w:p w14:paraId="74B05440" w14:textId="5E689D77"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暫定担当と成果物</w:t>
            </w:r>
          </w:p>
        </w:tc>
        <w:tc>
          <w:tcPr>
            <w:tcW w:w="1403" w:type="dxa"/>
            <w:shd w:val="clear" w:color="auto" w:fill="D9D9D9"/>
            <w:vAlign w:val="center"/>
          </w:tcPr>
          <w:p w14:paraId="2B9D0859" w14:textId="6E6DCCBF"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稼働</w:t>
            </w:r>
          </w:p>
        </w:tc>
      </w:tr>
      <w:tr w:rsidR="00052C77" w14:paraId="1C57F915" w14:textId="77777777" w:rsidTr="00052C77">
        <w:tc>
          <w:tcPr>
            <w:tcW w:w="1684" w:type="dxa"/>
            <w:vAlign w:val="center"/>
          </w:tcPr>
          <w:p w14:paraId="78DC44D4" w14:textId="0554B885"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小幡有生</w:t>
            </w:r>
          </w:p>
        </w:tc>
        <w:tc>
          <w:tcPr>
            <w:tcW w:w="3181" w:type="dxa"/>
            <w:vAlign w:val="center"/>
          </w:tcPr>
          <w:p w14:paraId="35498129" w14:textId="53421BA8"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早稲田大学学部卒、東京大学大学院・染谷研究室を休学中、音声</w:t>
            </w:r>
            <w:r w:rsidRPr="00052C77">
              <w:rPr>
                <w:rFonts w:ascii="IPAexゴシック" w:eastAsia="IPAexゴシック" w:hAnsi="IPAexゴシック"/>
                <w:color w:val="000000"/>
              </w:rPr>
              <w:t>AI領域で起業</w:t>
            </w:r>
          </w:p>
        </w:tc>
        <w:tc>
          <w:tcPr>
            <w:tcW w:w="3087" w:type="dxa"/>
            <w:vAlign w:val="center"/>
          </w:tcPr>
          <w:p w14:paraId="5FECDD61" w14:textId="2A2BD905"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Streaming IR、音声処理、全体統合、実機デモ</w:t>
            </w:r>
          </w:p>
        </w:tc>
        <w:tc>
          <w:tcPr>
            <w:tcW w:w="1403" w:type="dxa"/>
            <w:vAlign w:val="center"/>
          </w:tcPr>
          <w:p w14:paraId="1CF5CA20" w14:textId="6F31584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[要確認]</w:t>
            </w:r>
          </w:p>
        </w:tc>
      </w:tr>
      <w:tr w:rsidR="00052C77" w14:paraId="2BCC7E07" w14:textId="77777777" w:rsidTr="00052C77">
        <w:tc>
          <w:tcPr>
            <w:tcW w:w="1684" w:type="dxa"/>
            <w:vAlign w:val="center"/>
          </w:tcPr>
          <w:p w14:paraId="75FB4ABB" w14:textId="53137B5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松川直生</w:t>
            </w:r>
          </w:p>
        </w:tc>
        <w:tc>
          <w:tcPr>
            <w:tcW w:w="3181" w:type="dxa"/>
            <w:vAlign w:val="center"/>
          </w:tcPr>
          <w:p w14:paraId="446ED94D" w14:textId="2D70C98C"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東京大学学部卒、東京大学大学院の機械学習系研究室に所属</w:t>
            </w:r>
          </w:p>
        </w:tc>
        <w:tc>
          <w:tcPr>
            <w:tcW w:w="3087" w:type="dxa"/>
            <w:vAlign w:val="center"/>
          </w:tcPr>
          <w:p w14:paraId="6B933211" w14:textId="64A01C6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行為契約、</w:t>
            </w:r>
            <w:r w:rsidRPr="00052C77">
              <w:rPr>
                <w:rFonts w:ascii="IPAexゴシック" w:eastAsia="IPAexゴシック" w:hAnsi="IPAexゴシック"/>
                <w:color w:val="000000"/>
              </w:rPr>
              <w:t>Safety Monitor、端末ランタイム</w:t>
            </w:r>
          </w:p>
        </w:tc>
        <w:tc>
          <w:tcPr>
            <w:tcW w:w="1403" w:type="dxa"/>
            <w:vAlign w:val="center"/>
          </w:tcPr>
          <w:p w14:paraId="08F4A0E1" w14:textId="6D6EF1B6"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[要確認]</w:t>
            </w:r>
          </w:p>
        </w:tc>
      </w:tr>
      <w:tr w:rsidR="00052C77" w14:paraId="70093B63" w14:textId="77777777" w:rsidTr="00052C77">
        <w:tc>
          <w:tcPr>
            <w:tcW w:w="1684" w:type="dxa"/>
            <w:vAlign w:val="center"/>
          </w:tcPr>
          <w:p w14:paraId="5F0BA569" w14:textId="543BBFD6"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白石雄太郎</w:t>
            </w:r>
          </w:p>
        </w:tc>
        <w:tc>
          <w:tcPr>
            <w:tcW w:w="3181" w:type="dxa"/>
            <w:vAlign w:val="center"/>
          </w:tcPr>
          <w:p w14:paraId="5CD5A94D" w14:textId="133B642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東京大学学部卒、東京大学大学院で機械学習を研究</w:t>
            </w:r>
          </w:p>
        </w:tc>
        <w:tc>
          <w:tcPr>
            <w:tcW w:w="3087" w:type="dxa"/>
            <w:vAlign w:val="center"/>
          </w:tcPr>
          <w:p w14:paraId="0BCCC7FE" w14:textId="51CB615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部分意図推定、データ、</w:t>
            </w:r>
            <w:r w:rsidRPr="00052C77">
              <w:rPr>
                <w:rFonts w:ascii="IPAexゴシック" w:eastAsia="IPAexゴシック" w:hAnsi="IPAexゴシック"/>
                <w:color w:val="000000"/>
              </w:rPr>
              <w:t>HIL評価レポート</w:t>
            </w:r>
          </w:p>
        </w:tc>
        <w:tc>
          <w:tcPr>
            <w:tcW w:w="1403" w:type="dxa"/>
            <w:vAlign w:val="center"/>
          </w:tcPr>
          <w:p w14:paraId="4A2106A8" w14:textId="026366E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[要確認]</w:t>
            </w:r>
          </w:p>
        </w:tc>
      </w:tr>
    </w:tbl>
    <w:p w14:paraId="19612A71" w14:textId="77777777" w:rsidR="00052C77" w:rsidRDefault="00052C77" w:rsidP="00052C77">
      <w:pPr>
        <w:spacing w:after="40" w:line="100" w:lineRule="exact"/>
        <w:ind w:firstLineChars="100" w:firstLine="210"/>
        <w:rPr>
          <w:rFonts w:ascii="IPAexゴシック" w:eastAsia="IPAexゴシック" w:hAnsi="IPAexゴシック"/>
          <w:color w:val="000000"/>
        </w:rPr>
      </w:pPr>
    </w:p>
    <w:p w14:paraId="6A4A6600" w14:textId="57A29CC7"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実現性の根拠は学歴や肩書ではなく、各人が期間中に自作する成果物と現在の能力証拠で示す。応募前に、各人の公開可能なコード、論文、モデル、組込み・実機実績、受賞歴を</w:t>
      </w:r>
      <w:r w:rsidRPr="00052C77">
        <w:rPr>
          <w:rFonts w:ascii="IPAexゴシック" w:eastAsia="IPAexゴシック" w:hAnsi="IPAexゴシック"/>
          <w:color w:val="000000"/>
        </w:rPr>
        <w:t>URL付きで追記する。[要本人記入] 本プロジェクトを始めた動機として、音声AIの実装中に経験した具体的な失敗または顧客要望と、実行中の委任を撤回・訂正する問題へ至った経緯を記載する。</w:t>
      </w:r>
    </w:p>
    <w:p w14:paraId="11AD629A" w14:textId="4678A589"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現時点で確認できる成果物は技術構想、競合整理、評価計画であり、本案の動作コード、</w:t>
      </w:r>
      <w:r w:rsidRPr="00052C77">
        <w:rPr>
          <w:rFonts w:ascii="IPAexゴシック" w:eastAsia="IPAexゴシック" w:hAnsi="IPAexゴシック"/>
          <w:color w:val="000000"/>
        </w:rPr>
        <w:t>30秒実機デモ、同条件ベンチマーク、独自データ、設計パートナーは未確認である。応募までに、単一機器の停止・訂正デモ、20以上の失敗シナリオ、ASR→LLM→制御との比較、実証意向2件を最低到達点とする。3名の役割は本人の実績、希望、月別稼働を確認して確定する。</w:t>
      </w:r>
    </w:p>
    <w:p w14:paraId="6E1506BE" w14:textId="0F540A83"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b/>
          <w:color w:val="000000"/>
        </w:rPr>
        <w:br w:type="page"/>
      </w:r>
      <w:r w:rsidRPr="00052C77">
        <w:rPr>
          <w:rFonts w:ascii="IPAexゴシック" w:eastAsia="IPAexゴシック" w:hAnsi="IPAexゴシック" w:hint="eastAsia"/>
          <w:b/>
          <w:color w:val="000000"/>
        </w:rPr>
        <w:lastRenderedPageBreak/>
        <w:t>⑤事業化・社会実装の新規性・優位性、想定するターゲットと規模</w:t>
      </w:r>
    </w:p>
    <w:p w14:paraId="4E87A4CD" w14:textId="44CA3346"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対象と提供価値</w:t>
      </w:r>
    </w:p>
    <w:p w14:paraId="421B40C5" w14:textId="0B7950DA"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最初の利用者は、ロボット・産業機器へ自然言語操作を組み込むソフトウェア／制御開発者、支払者は機器メーカー、ロボット</w:t>
      </w:r>
      <w:r w:rsidRPr="00052C77">
        <w:rPr>
          <w:rFonts w:ascii="IPAexゴシック" w:eastAsia="IPAexゴシック" w:hAnsi="IPAexゴシック"/>
          <w:color w:val="000000"/>
        </w:rPr>
        <w:t>SIer、実証を行う事業部門を想定する。最初の用途は一機器・一作業へ限定し、機器シリーズ単位のSDKライセンス、HIL評価キット、機器アダプタの組込み支援として提供する。</w:t>
      </w:r>
    </w:p>
    <w:p w14:paraId="7747A0C7" w14:textId="11EFDDAB" w:rsidR="00052C77" w:rsidRPr="00052C77" w:rsidRDefault="00052C77" w:rsidP="00052C77">
      <w:pPr>
        <w:widowControl/>
        <w:spacing w:after="60" w:line="310" w:lineRule="exact"/>
        <w:ind w:firstLine="210"/>
        <w:rPr>
          <w:rFonts w:ascii="IPAexゴシック" w:eastAsia="IPAexゴシック" w:hAnsi="IPAexゴシック" w:hint="eastAsia"/>
          <w:color w:val="000000"/>
        </w:rPr>
      </w:pPr>
      <w:r w:rsidRPr="00052C77">
        <w:rPr>
          <w:rFonts w:ascii="IPAexゴシック" w:eastAsia="IPAexゴシック" w:hAnsi="IPAexゴシック" w:hint="eastAsia"/>
          <w:color w:val="000000"/>
        </w:rPr>
        <w:t>既存の非常停止を置換せず、自然言語操作と物理安全機構の間へ追加する層として導入する。特定のクラウドモデルへ依存せず、実機で蓄積する重複発話、騒音、通信断、誤停止、見逃しの失敗データ、再利用可能な行為契約、端末実装を優位性の核とする。</w:t>
      </w:r>
    </w:p>
    <w:p w14:paraId="388E97DB" w14:textId="5164819A" w:rsidR="00052C77" w:rsidRPr="00052C77" w:rsidRDefault="00052C77" w:rsidP="00052C77">
      <w:pPr>
        <w:keepNext/>
        <w:widowControl/>
        <w:spacing w:before="120" w:after="40" w:line="310" w:lineRule="exact"/>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ターゲット規模の算定</w:t>
      </w:r>
    </w:p>
    <w:p w14:paraId="277AE7F6" w14:textId="31217E9E" w:rsidR="00052C77" w:rsidRPr="00052C77" w:rsidRDefault="00052C77" w:rsidP="00052C77">
      <w:pPr>
        <w:widowControl/>
        <w:spacing w:before="60" w:after="60" w:line="310" w:lineRule="exact"/>
        <w:ind w:left="210" w:right="210"/>
        <w:rPr>
          <w:rFonts w:ascii="IPAexゴシック" w:eastAsia="IPAexゴシック" w:hAnsi="IPAexゴシック"/>
          <w:i/>
          <w:color w:val="000000"/>
        </w:rPr>
      </w:pPr>
      <w:r w:rsidRPr="00052C77">
        <w:rPr>
          <w:rFonts w:ascii="IPAexゴシック" w:eastAsia="IPAexゴシック" w:hAnsi="IPAexゴシック"/>
          <w:i/>
          <w:color w:val="000000"/>
        </w:rPr>
        <w:t>[要顧客調査] 市場規模はロボット市場全体を流用せず、自然言語操作を計画する対象企業数 × 対象機種数 × 一機種あたりのSDK・評価・組込み単価でボトムアップ算定する。応募前にロボット／機器開発者10件へ、現行の音声UI開発費、安全評価工数、操作者配置、導入予算を聞き、同じ切迫課題が3件以上あるか確認する。実証意向2件から支払者、導入条件、PoC予算を具体化する。</w:t>
      </w:r>
    </w:p>
    <w:p w14:paraId="2FE28F6C" w14:textId="21A4FE79"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⑥事業化・社会実装の具体的な進め方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590"/>
        <w:gridCol w:w="2526"/>
        <w:gridCol w:w="2900"/>
        <w:gridCol w:w="2339"/>
      </w:tblGrid>
      <w:tr w:rsidR="00052C77" w14:paraId="2AD71F80" w14:textId="77777777" w:rsidTr="00052C77">
        <w:trPr>
          <w:tblHeader/>
        </w:trPr>
        <w:tc>
          <w:tcPr>
            <w:tcW w:w="1590" w:type="dxa"/>
            <w:shd w:val="clear" w:color="auto" w:fill="D9D9D9"/>
            <w:vAlign w:val="center"/>
          </w:tcPr>
          <w:p w14:paraId="6AFEBF64" w14:textId="0C0FB261"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時期</w:t>
            </w:r>
          </w:p>
        </w:tc>
        <w:tc>
          <w:tcPr>
            <w:tcW w:w="2526" w:type="dxa"/>
            <w:shd w:val="clear" w:color="auto" w:fill="D9D9D9"/>
            <w:vAlign w:val="center"/>
          </w:tcPr>
          <w:p w14:paraId="4A015E2E" w14:textId="513AE2D1"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対象</w:t>
            </w:r>
          </w:p>
        </w:tc>
        <w:tc>
          <w:tcPr>
            <w:tcW w:w="2900" w:type="dxa"/>
            <w:shd w:val="clear" w:color="auto" w:fill="D9D9D9"/>
            <w:vAlign w:val="center"/>
          </w:tcPr>
          <w:p w14:paraId="3186F87B" w14:textId="5B1C52E0"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検証内容</w:t>
            </w:r>
          </w:p>
        </w:tc>
        <w:tc>
          <w:tcPr>
            <w:tcW w:w="2339" w:type="dxa"/>
            <w:shd w:val="clear" w:color="auto" w:fill="D9D9D9"/>
            <w:vAlign w:val="center"/>
          </w:tcPr>
          <w:p w14:paraId="21F7647F" w14:textId="68A44B3E"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成功条件</w:t>
            </w:r>
          </w:p>
        </w:tc>
      </w:tr>
      <w:tr w:rsidR="00052C77" w14:paraId="64521D84" w14:textId="77777777" w:rsidTr="00052C77">
        <w:tc>
          <w:tcPr>
            <w:tcW w:w="1590" w:type="dxa"/>
            <w:vAlign w:val="center"/>
          </w:tcPr>
          <w:p w14:paraId="19E0304B" w14:textId="01E76AA2"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応募前</w:t>
            </w:r>
          </w:p>
        </w:tc>
        <w:tc>
          <w:tcPr>
            <w:tcW w:w="2526" w:type="dxa"/>
            <w:vAlign w:val="center"/>
          </w:tcPr>
          <w:p w14:paraId="48A968F7" w14:textId="64EE594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開発者</w:t>
            </w:r>
            <w:r w:rsidRPr="00052C77">
              <w:rPr>
                <w:rFonts w:ascii="IPAexゴシック" w:eastAsia="IPAexゴシック" w:hAnsi="IPAexゴシック"/>
                <w:color w:val="000000"/>
              </w:rPr>
              <w:t>10件</w:t>
            </w:r>
          </w:p>
        </w:tc>
        <w:tc>
          <w:tcPr>
            <w:tcW w:w="2900" w:type="dxa"/>
            <w:vAlign w:val="center"/>
          </w:tcPr>
          <w:p w14:paraId="262C9CA8" w14:textId="26E44F1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失敗、現行停止経路、導入予算</w:t>
            </w:r>
          </w:p>
        </w:tc>
        <w:tc>
          <w:tcPr>
            <w:tcW w:w="2339" w:type="dxa"/>
            <w:vAlign w:val="center"/>
          </w:tcPr>
          <w:p w14:paraId="1882931A" w14:textId="60F19475"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同じ切迫課題</w:t>
            </w:r>
            <w:r w:rsidRPr="00052C77">
              <w:rPr>
                <w:rFonts w:ascii="IPAexゴシック" w:eastAsia="IPAexゴシック" w:hAnsi="IPAexゴシック"/>
                <w:color w:val="000000"/>
              </w:rPr>
              <w:t>3件以上</w:t>
            </w:r>
          </w:p>
        </w:tc>
      </w:tr>
      <w:tr w:rsidR="00052C77" w14:paraId="09686EB0" w14:textId="77777777" w:rsidTr="00052C77">
        <w:tc>
          <w:tcPr>
            <w:tcW w:w="1590" w:type="dxa"/>
            <w:vAlign w:val="center"/>
          </w:tcPr>
          <w:p w14:paraId="3D433F53" w14:textId="3891089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1</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2か月目</w:t>
            </w:r>
          </w:p>
        </w:tc>
        <w:tc>
          <w:tcPr>
            <w:tcW w:w="2526" w:type="dxa"/>
            <w:vAlign w:val="center"/>
          </w:tcPr>
          <w:p w14:paraId="57E11BFB" w14:textId="20556BF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設計パートナー</w:t>
            </w:r>
            <w:r w:rsidRPr="00052C77">
              <w:rPr>
                <w:rFonts w:ascii="IPAexゴシック" w:eastAsia="IPAexゴシック" w:hAnsi="IPAexゴシック"/>
                <w:color w:val="000000"/>
              </w:rPr>
              <w:t>2件</w:t>
            </w:r>
          </w:p>
        </w:tc>
        <w:tc>
          <w:tcPr>
            <w:tcW w:w="2900" w:type="dxa"/>
            <w:vAlign w:val="center"/>
          </w:tcPr>
          <w:p w14:paraId="71FB5B4D" w14:textId="32000F6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対象作業と安全</w:t>
            </w:r>
            <w:r w:rsidRPr="00052C77">
              <w:rPr>
                <w:rFonts w:ascii="IPAexゴシック" w:eastAsia="IPAexゴシック" w:hAnsi="IPAexゴシック"/>
                <w:color w:val="000000"/>
              </w:rPr>
              <w:t>KPI</w:t>
            </w:r>
          </w:p>
        </w:tc>
        <w:tc>
          <w:tcPr>
            <w:tcW w:w="2339" w:type="dxa"/>
            <w:vAlign w:val="center"/>
          </w:tcPr>
          <w:p w14:paraId="52EA811F" w14:textId="475CF47C"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評価条件の文書合意</w:t>
            </w:r>
          </w:p>
        </w:tc>
      </w:tr>
      <w:tr w:rsidR="00052C77" w14:paraId="0D5921E0" w14:textId="77777777" w:rsidTr="00052C77">
        <w:tc>
          <w:tcPr>
            <w:tcW w:w="1590" w:type="dxa"/>
            <w:vAlign w:val="center"/>
          </w:tcPr>
          <w:p w14:paraId="066B030C" w14:textId="579EF5D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3</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5か月目</w:t>
            </w:r>
          </w:p>
        </w:tc>
        <w:tc>
          <w:tcPr>
            <w:tcW w:w="2526" w:type="dxa"/>
            <w:vAlign w:val="center"/>
          </w:tcPr>
          <w:p w14:paraId="5260A42C" w14:textId="0849313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1社・1機器</w:t>
            </w:r>
          </w:p>
        </w:tc>
        <w:tc>
          <w:tcPr>
            <w:tcW w:w="2900" w:type="dxa"/>
            <w:vAlign w:val="center"/>
          </w:tcPr>
          <w:p w14:paraId="60870A64" w14:textId="7AF0C53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HILと実機PoC</w:t>
            </w:r>
          </w:p>
        </w:tc>
        <w:tc>
          <w:tcPr>
            <w:tcW w:w="2339" w:type="dxa"/>
            <w:vAlign w:val="center"/>
          </w:tcPr>
          <w:p w14:paraId="37A69970" w14:textId="01CBCE51"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ベースラインを定量改善</w:t>
            </w:r>
          </w:p>
        </w:tc>
      </w:tr>
      <w:tr w:rsidR="00052C77" w14:paraId="070BF907" w14:textId="77777777" w:rsidTr="00052C77">
        <w:tc>
          <w:tcPr>
            <w:tcW w:w="1590" w:type="dxa"/>
            <w:vAlign w:val="center"/>
          </w:tcPr>
          <w:p w14:paraId="2F754D17" w14:textId="26C3D8F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6</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8か月目</w:t>
            </w:r>
          </w:p>
        </w:tc>
        <w:tc>
          <w:tcPr>
            <w:tcW w:w="2526" w:type="dxa"/>
            <w:vAlign w:val="center"/>
          </w:tcPr>
          <w:p w14:paraId="421B4678" w14:textId="42663AC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2社目または2機器目</w:t>
            </w:r>
          </w:p>
        </w:tc>
        <w:tc>
          <w:tcPr>
            <w:tcW w:w="2900" w:type="dxa"/>
            <w:vAlign w:val="center"/>
          </w:tcPr>
          <w:p w14:paraId="2B6B3EA4" w14:textId="66EA3BC9"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移植性と導入工数</w:t>
            </w:r>
          </w:p>
        </w:tc>
        <w:tc>
          <w:tcPr>
            <w:tcW w:w="2339" w:type="dxa"/>
            <w:vAlign w:val="center"/>
          </w:tcPr>
          <w:p w14:paraId="4C4ED346" w14:textId="43047725"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アダプタ交換で再利用</w:t>
            </w:r>
          </w:p>
        </w:tc>
      </w:tr>
      <w:tr w:rsidR="00052C77" w14:paraId="2C672553" w14:textId="77777777" w:rsidTr="00052C77">
        <w:tc>
          <w:tcPr>
            <w:tcW w:w="1590" w:type="dxa"/>
            <w:vAlign w:val="center"/>
          </w:tcPr>
          <w:p w14:paraId="715D37CA" w14:textId="1D5B9A3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終了時</w:t>
            </w:r>
          </w:p>
        </w:tc>
        <w:tc>
          <w:tcPr>
            <w:tcW w:w="2526" w:type="dxa"/>
            <w:vAlign w:val="center"/>
          </w:tcPr>
          <w:p w14:paraId="20322DB5" w14:textId="5E37E64D"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支払者</w:t>
            </w:r>
          </w:p>
        </w:tc>
        <w:tc>
          <w:tcPr>
            <w:tcW w:w="2900" w:type="dxa"/>
            <w:vAlign w:val="center"/>
          </w:tcPr>
          <w:p w14:paraId="40102CD4" w14:textId="218B0C43"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SDK・評価支援の有償化</w:t>
            </w:r>
          </w:p>
        </w:tc>
        <w:tc>
          <w:tcPr>
            <w:tcW w:w="2339" w:type="dxa"/>
            <w:vAlign w:val="center"/>
          </w:tcPr>
          <w:p w14:paraId="4794A412" w14:textId="6E623C9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有償契約または条件付き発注意向</w:t>
            </w:r>
          </w:p>
        </w:tc>
      </w:tr>
    </w:tbl>
    <w:p w14:paraId="4872BB4B" w14:textId="77777777" w:rsidR="00052C77" w:rsidRDefault="00052C77" w:rsidP="00052C77">
      <w:pPr>
        <w:spacing w:after="40" w:line="100" w:lineRule="exact"/>
        <w:ind w:firstLineChars="100" w:firstLine="210"/>
        <w:rPr>
          <w:rFonts w:ascii="IPAexゴシック" w:eastAsia="IPAexゴシック" w:hAnsi="IPAexゴシック"/>
          <w:color w:val="000000"/>
        </w:rPr>
      </w:pPr>
    </w:p>
    <w:p w14:paraId="25790C64" w14:textId="5181A852"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安全責任については早期に「安全認証済み」と主張せず、既存の安全機構を残した追加層として責任分界と評価範囲を明確にする。機器ごとの統合コストは共通イベントと薄いアダプタに分離し、</w:t>
      </w:r>
      <w:r w:rsidRPr="00052C77">
        <w:rPr>
          <w:rFonts w:ascii="IPAexゴシック" w:eastAsia="IPAexゴシック" w:hAnsi="IPAexゴシック"/>
          <w:color w:val="000000"/>
        </w:rPr>
        <w:t>2種類の機器で移植工数を測る。音声誤認識への不信には、平均成功率だけでなく、見逃し、誤停止、縮退動作、失敗動画を公開可能な範囲で示す。</w:t>
      </w:r>
    </w:p>
    <w:p w14:paraId="40D45410" w14:textId="06BB3B3E"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b/>
          <w:color w:val="000000"/>
        </w:rPr>
        <w:br w:type="page"/>
      </w:r>
      <w:r w:rsidRPr="00052C77">
        <w:rPr>
          <w:rFonts w:ascii="IPAexゴシック" w:eastAsia="IPAexゴシック" w:hAnsi="IPAexゴシック" w:hint="eastAsia"/>
          <w:b/>
          <w:color w:val="000000"/>
        </w:rPr>
        <w:lastRenderedPageBreak/>
        <w:t>⑦事業期間終了後の事業化・社会実装に関する計画</w:t>
      </w:r>
    </w:p>
    <w:p w14:paraId="3D90B335" w14:textId="413BE9A1"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終了後</w:t>
      </w:r>
      <w:r w:rsidRPr="00052C77">
        <w:rPr>
          <w:rFonts w:ascii="IPAexゴシック" w:eastAsia="IPAexゴシック" w:hAnsi="IPAexゴシック"/>
          <w:color w:val="000000"/>
        </w:rPr>
        <w:t>0</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12か月は、期間中の設計パートナーを最初の導入顧客とし、一</w:t>
      </w:r>
      <w:r w:rsidRPr="00052C77">
        <w:rPr>
          <w:rFonts w:ascii="IPAexゴシック" w:eastAsia="IPAexゴシック" w:hAnsi="IPAexゴシック" w:hint="eastAsia"/>
          <w:color w:val="000000"/>
        </w:rPr>
        <w:t>〜二用途で製品組込みを進める。</w:t>
      </w:r>
      <w:r w:rsidRPr="00052C77">
        <w:rPr>
          <w:rFonts w:ascii="IPAexゴシック" w:eastAsia="IPAexゴシック" w:hAnsi="IPAexゴシック"/>
          <w:color w:val="000000"/>
        </w:rPr>
        <w:t>Safety Monitor、行為契約、HIL評価ハーネスをSDK・評価キットへ整備し、安全・認証の専門家と既存安全規格との責任分界を整理する。継続主体を新会社、既存会社から分離した事業、個人チームのいずれにするかは、知財境界と合わせて決定する。</w:t>
      </w:r>
    </w:p>
    <w:p w14:paraId="3F59E3B0" w14:textId="40BFF9D4"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color w:val="000000"/>
        </w:rPr>
        <w:t>1</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3年は、ロボットアーム、移動機器、遠隔操作機器の複数カテゴリへ行為契約を展開し、日本語以外、複数話者、ウェアラブルマイク等へ評価条件を拡張する。国内の二機器で再現性と導入工数を示した後、機器企業、ロボットSIer、音声モデル開発者が共通利用できる評価シナリオとログ形式を提案し、海外展開を検討する。</w:t>
      </w:r>
    </w:p>
    <w:p w14:paraId="71893430" w14:textId="28601CBE" w:rsidR="00052C77" w:rsidRPr="00052C77" w:rsidRDefault="00052C77" w:rsidP="00052C77">
      <w:pPr>
        <w:widowControl/>
        <w:spacing w:before="60" w:after="60" w:line="310" w:lineRule="exact"/>
        <w:ind w:left="210" w:right="210"/>
        <w:rPr>
          <w:rFonts w:ascii="IPAexゴシック" w:eastAsia="IPAexゴシック" w:hAnsi="IPAexゴシック"/>
          <w:i/>
          <w:color w:val="000000"/>
        </w:rPr>
      </w:pPr>
      <w:r w:rsidRPr="00052C77">
        <w:rPr>
          <w:rFonts w:ascii="IPAexゴシック" w:eastAsia="IPAexゴシック" w:hAnsi="IPAexゴシック"/>
          <w:i/>
          <w:color w:val="000000"/>
        </w:rPr>
        <w:t>[要試算] 終了後に必要な人員はコア開発2</w:t>
      </w:r>
      <w:r w:rsidRPr="00052C77">
        <w:rPr>
          <w:rFonts w:ascii="IPAexゴシック" w:eastAsia="IPAexゴシック" w:hAnsi="IPAexゴシック" w:hint="eastAsia"/>
          <w:i/>
          <w:color w:val="000000"/>
        </w:rPr>
        <w:t>〜</w:t>
      </w:r>
      <w:r w:rsidRPr="00052C77">
        <w:rPr>
          <w:rFonts w:ascii="IPAexゴシック" w:eastAsia="IPAexゴシック" w:hAnsi="IPAexゴシック"/>
          <w:i/>
          <w:color w:val="000000"/>
        </w:rPr>
        <w:t>3名、実機統合・評価1</w:t>
      </w:r>
      <w:r w:rsidRPr="00052C77">
        <w:rPr>
          <w:rFonts w:ascii="IPAexゴシック" w:eastAsia="IPAexゴシック" w:hAnsi="IPAexゴシック" w:hint="eastAsia"/>
          <w:i/>
          <w:color w:val="000000"/>
        </w:rPr>
        <w:t>〜</w:t>
      </w:r>
      <w:r w:rsidRPr="00052C77">
        <w:rPr>
          <w:rFonts w:ascii="IPAexゴシック" w:eastAsia="IPAexゴシック" w:hAnsi="IPAexゴシック"/>
          <w:i/>
          <w:color w:val="000000"/>
        </w:rPr>
        <w:t>2名相当、外部の安全・法務・知財専門家を仮置きする。年間経費は人件費、GPU・収録・実機設備、試験環境、法務・知財に分け、利用可能な既存資産を棚卸しして算定する。売上計画は、SDKライセンス、HIL評価支援、機器アダプタ組込みの三本で、顧客インタビュー後に単価、粗利、保守範囲、初年度案件数を設定する。</w:t>
      </w:r>
    </w:p>
    <w:p w14:paraId="22E9EAB9" w14:textId="2EFA8B30"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b/>
          <w:color w:val="000000"/>
        </w:rPr>
        <w:br w:type="page"/>
      </w:r>
      <w:r w:rsidRPr="00052C77">
        <w:rPr>
          <w:rFonts w:ascii="IPAexゴシック" w:eastAsia="IPAexゴシック" w:hAnsi="IPAexゴシック" w:hint="eastAsia"/>
          <w:b/>
          <w:color w:val="000000"/>
        </w:rPr>
        <w:lastRenderedPageBreak/>
        <w:t>⑧予算内訳のまとめ</w:t>
      </w:r>
    </w:p>
    <w:p w14:paraId="7BD628C6" w14:textId="7DED2C57"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実施費用は、採択後の委託期間中に応募者本人が行う開発作業時間を基礎に算出する。物品購入費を主目的にせず、ロボット、端末、</w:t>
      </w:r>
      <w:r w:rsidRPr="00052C77">
        <w:rPr>
          <w:rFonts w:ascii="IPAexゴシック" w:eastAsia="IPAexゴシック" w:hAnsi="IPAexゴシック"/>
          <w:color w:val="000000"/>
        </w:rPr>
        <w:t>GPU、収録環境は、保有資産、実証先設備、自己負担、外部サービスの利用範囲を分ける。3名プロジェクトの総額上限は1,600万円であるが、現時点で各人の月別稼働可能時間と算定単価が未確認のため、虚偽の数値は置かない。</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1"/>
        <w:gridCol w:w="2619"/>
        <w:gridCol w:w="2806"/>
        <w:gridCol w:w="2058"/>
      </w:tblGrid>
      <w:tr w:rsidR="00052C77" w14:paraId="57201868" w14:textId="77777777" w:rsidTr="00052C77">
        <w:trPr>
          <w:tblHeader/>
        </w:trPr>
        <w:tc>
          <w:tcPr>
            <w:tcW w:w="1871" w:type="dxa"/>
            <w:shd w:val="clear" w:color="auto" w:fill="D9D9D9"/>
            <w:vAlign w:val="center"/>
          </w:tcPr>
          <w:p w14:paraId="1FC56EFE" w14:textId="7664D993"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メンバー</w:t>
            </w:r>
          </w:p>
        </w:tc>
        <w:tc>
          <w:tcPr>
            <w:tcW w:w="2619" w:type="dxa"/>
            <w:shd w:val="clear" w:color="auto" w:fill="D9D9D9"/>
            <w:vAlign w:val="center"/>
          </w:tcPr>
          <w:p w14:paraId="743FDBC4" w14:textId="15FBD2CB"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主な作業</w:t>
            </w:r>
          </w:p>
        </w:tc>
        <w:tc>
          <w:tcPr>
            <w:tcW w:w="2806" w:type="dxa"/>
            <w:shd w:val="clear" w:color="auto" w:fill="D9D9D9"/>
            <w:vAlign w:val="center"/>
          </w:tcPr>
          <w:p w14:paraId="50DED1B5" w14:textId="78D268EB"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総作業時間・算定根拠</w:t>
            </w:r>
          </w:p>
        </w:tc>
        <w:tc>
          <w:tcPr>
            <w:tcW w:w="2058" w:type="dxa"/>
            <w:shd w:val="clear" w:color="auto" w:fill="D9D9D9"/>
            <w:vAlign w:val="center"/>
          </w:tcPr>
          <w:p w14:paraId="0F1FEEFD" w14:textId="3B1001E6" w:rsidR="00052C77" w:rsidRPr="00052C77" w:rsidRDefault="00052C77" w:rsidP="00052C77">
            <w:pPr>
              <w:spacing w:line="290" w:lineRule="exact"/>
              <w:jc w:val="left"/>
              <w:rPr>
                <w:rFonts w:ascii="IPAexゴシック" w:eastAsia="IPAexゴシック" w:hAnsi="IPAexゴシック"/>
                <w:b/>
                <w:color w:val="000000"/>
              </w:rPr>
            </w:pPr>
            <w:r w:rsidRPr="00052C77">
              <w:rPr>
                <w:rFonts w:ascii="IPAexゴシック" w:eastAsia="IPAexゴシック" w:hAnsi="IPAexゴシック" w:hint="eastAsia"/>
                <w:b/>
                <w:color w:val="000000"/>
              </w:rPr>
              <w:t>委託費</w:t>
            </w:r>
          </w:p>
        </w:tc>
      </w:tr>
      <w:tr w:rsidR="00052C77" w14:paraId="57581E63" w14:textId="77777777" w:rsidTr="00052C77">
        <w:tc>
          <w:tcPr>
            <w:tcW w:w="1871" w:type="dxa"/>
            <w:vAlign w:val="center"/>
          </w:tcPr>
          <w:p w14:paraId="055525FA" w14:textId="70259836"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小幡有生</w:t>
            </w:r>
          </w:p>
        </w:tc>
        <w:tc>
          <w:tcPr>
            <w:tcW w:w="2619" w:type="dxa"/>
            <w:vAlign w:val="center"/>
          </w:tcPr>
          <w:p w14:paraId="2E9E9348" w14:textId="4A1B9BB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音声処理、</w:t>
            </w:r>
            <w:r w:rsidRPr="00052C77">
              <w:rPr>
                <w:rFonts w:ascii="IPAexゴシック" w:eastAsia="IPAexゴシック" w:hAnsi="IPAexゴシック"/>
                <w:color w:val="000000"/>
              </w:rPr>
              <w:t>Streaming IR、統合、実機検証</w:t>
            </w:r>
          </w:p>
        </w:tc>
        <w:tc>
          <w:tcPr>
            <w:tcW w:w="2806" w:type="dxa"/>
            <w:vAlign w:val="center"/>
          </w:tcPr>
          <w:p w14:paraId="1484F21F" w14:textId="20308F5F"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[要確認] 月別時間×8か月</w:t>
            </w:r>
          </w:p>
        </w:tc>
        <w:tc>
          <w:tcPr>
            <w:tcW w:w="2058" w:type="dxa"/>
            <w:vAlign w:val="center"/>
          </w:tcPr>
          <w:p w14:paraId="4B49553F" w14:textId="01F90097"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[要算定]</w:t>
            </w:r>
          </w:p>
        </w:tc>
      </w:tr>
      <w:tr w:rsidR="00052C77" w14:paraId="156A82DB" w14:textId="77777777" w:rsidTr="00052C77">
        <w:tc>
          <w:tcPr>
            <w:tcW w:w="1871" w:type="dxa"/>
            <w:vAlign w:val="center"/>
          </w:tcPr>
          <w:p w14:paraId="6A92A743" w14:textId="48984280"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松川直生</w:t>
            </w:r>
          </w:p>
        </w:tc>
        <w:tc>
          <w:tcPr>
            <w:tcW w:w="2619" w:type="dxa"/>
            <w:vAlign w:val="center"/>
          </w:tcPr>
          <w:p w14:paraId="17279361" w14:textId="5AA629A3"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行為契約、</w:t>
            </w:r>
            <w:r w:rsidRPr="00052C77">
              <w:rPr>
                <w:rFonts w:ascii="IPAexゴシック" w:eastAsia="IPAexゴシック" w:hAnsi="IPAexゴシック"/>
                <w:color w:val="000000"/>
              </w:rPr>
              <w:t>Safety Monitor、端末実装</w:t>
            </w:r>
          </w:p>
        </w:tc>
        <w:tc>
          <w:tcPr>
            <w:tcW w:w="2806" w:type="dxa"/>
            <w:vAlign w:val="center"/>
          </w:tcPr>
          <w:p w14:paraId="644DA223" w14:textId="3398314D"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[要確認] 月別時間×8か月</w:t>
            </w:r>
          </w:p>
        </w:tc>
        <w:tc>
          <w:tcPr>
            <w:tcW w:w="2058" w:type="dxa"/>
            <w:vAlign w:val="center"/>
          </w:tcPr>
          <w:p w14:paraId="115217DF" w14:textId="70A81DB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[要算定]</w:t>
            </w:r>
          </w:p>
        </w:tc>
      </w:tr>
      <w:tr w:rsidR="00052C77" w14:paraId="0C0AE509" w14:textId="77777777" w:rsidTr="00052C77">
        <w:tc>
          <w:tcPr>
            <w:tcW w:w="1871" w:type="dxa"/>
            <w:vAlign w:val="center"/>
          </w:tcPr>
          <w:p w14:paraId="322AD1EB" w14:textId="7C886E36"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白石雄太郎</w:t>
            </w:r>
          </w:p>
        </w:tc>
        <w:tc>
          <w:tcPr>
            <w:tcW w:w="2619" w:type="dxa"/>
            <w:vAlign w:val="center"/>
          </w:tcPr>
          <w:p w14:paraId="2FC3ED5A" w14:textId="2207ABE8"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部分意図推定、データ、</w:t>
            </w:r>
            <w:r w:rsidRPr="00052C77">
              <w:rPr>
                <w:rFonts w:ascii="IPAexゴシック" w:eastAsia="IPAexゴシック" w:hAnsi="IPAexゴシック"/>
                <w:color w:val="000000"/>
              </w:rPr>
              <w:t>HIL評価</w:t>
            </w:r>
          </w:p>
        </w:tc>
        <w:tc>
          <w:tcPr>
            <w:tcW w:w="2806" w:type="dxa"/>
            <w:vAlign w:val="center"/>
          </w:tcPr>
          <w:p w14:paraId="0A756C64" w14:textId="1B5A9B2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[要確認] 月別時間×8か月</w:t>
            </w:r>
          </w:p>
        </w:tc>
        <w:tc>
          <w:tcPr>
            <w:tcW w:w="2058" w:type="dxa"/>
            <w:vAlign w:val="center"/>
          </w:tcPr>
          <w:p w14:paraId="55CBF1DF" w14:textId="7DFFFA84"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[要算定]</w:t>
            </w:r>
          </w:p>
        </w:tc>
      </w:tr>
      <w:tr w:rsidR="00052C77" w14:paraId="57EB3BE0" w14:textId="77777777" w:rsidTr="00052C77">
        <w:tc>
          <w:tcPr>
            <w:tcW w:w="1871" w:type="dxa"/>
            <w:vAlign w:val="center"/>
          </w:tcPr>
          <w:p w14:paraId="190148C3" w14:textId="603A8CB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合計</w:t>
            </w:r>
          </w:p>
        </w:tc>
        <w:tc>
          <w:tcPr>
            <w:tcW w:w="2619" w:type="dxa"/>
            <w:vAlign w:val="center"/>
          </w:tcPr>
          <w:p w14:paraId="6151270C" w14:textId="4136395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全員が実際に開発へ従事</w:t>
            </w:r>
          </w:p>
        </w:tc>
        <w:tc>
          <w:tcPr>
            <w:tcW w:w="2806" w:type="dxa"/>
            <w:vAlign w:val="center"/>
          </w:tcPr>
          <w:p w14:paraId="0153D8C5" w14:textId="584313DA"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color w:val="000000"/>
              </w:rPr>
              <w:t>[要確認] 総作業時間</w:t>
            </w:r>
          </w:p>
        </w:tc>
        <w:tc>
          <w:tcPr>
            <w:tcW w:w="2058" w:type="dxa"/>
            <w:vAlign w:val="center"/>
          </w:tcPr>
          <w:p w14:paraId="08AFB624" w14:textId="3ABBAA4E" w:rsidR="00052C77" w:rsidRPr="00052C77" w:rsidRDefault="00052C77" w:rsidP="00052C77">
            <w:pPr>
              <w:spacing w:line="290" w:lineRule="exact"/>
              <w:jc w:val="left"/>
              <w:rPr>
                <w:rFonts w:ascii="IPAexゴシック" w:eastAsia="IPAexゴシック" w:hAnsi="IPAexゴシック"/>
                <w:color w:val="000000"/>
              </w:rPr>
            </w:pPr>
            <w:r w:rsidRPr="00052C77">
              <w:rPr>
                <w:rFonts w:ascii="IPAexゴシック" w:eastAsia="IPAexゴシック" w:hAnsi="IPAexゴシック" w:hint="eastAsia"/>
                <w:color w:val="000000"/>
              </w:rPr>
              <w:t>上限</w:t>
            </w:r>
            <w:r w:rsidRPr="00052C77">
              <w:rPr>
                <w:rFonts w:ascii="IPAexゴシック" w:eastAsia="IPAexゴシック" w:hAnsi="IPAexゴシック"/>
                <w:color w:val="000000"/>
              </w:rPr>
              <w:t>1,600万円以内</w:t>
            </w:r>
          </w:p>
        </w:tc>
      </w:tr>
    </w:tbl>
    <w:p w14:paraId="1B51E30D" w14:textId="77777777" w:rsidR="00052C77" w:rsidRDefault="00052C77" w:rsidP="00052C77">
      <w:pPr>
        <w:spacing w:after="40" w:line="100" w:lineRule="exact"/>
        <w:ind w:firstLineChars="100" w:firstLine="210"/>
        <w:rPr>
          <w:rFonts w:ascii="IPAexゴシック" w:eastAsia="IPAexゴシック" w:hAnsi="IPAexゴシック"/>
          <w:color w:val="000000"/>
        </w:rPr>
      </w:pPr>
    </w:p>
    <w:p w14:paraId="16123A82" w14:textId="2BD94125"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応募前に、</w:t>
      </w:r>
      <w:r w:rsidRPr="00052C77">
        <w:rPr>
          <w:rFonts w:ascii="IPAexゴシック" w:eastAsia="IPAexゴシック" w:hAnsi="IPAexゴシック"/>
          <w:color w:val="000000"/>
        </w:rPr>
        <w:t>2027年1月</w:t>
      </w:r>
      <w:r w:rsidRPr="00052C77">
        <w:rPr>
          <w:rFonts w:ascii="IPAexゴシック" w:eastAsia="IPAexゴシック" w:hAnsi="IPAexゴシック" w:hint="eastAsia"/>
          <w:color w:val="000000"/>
        </w:rPr>
        <w:t>〜</w:t>
      </w:r>
      <w:r w:rsidRPr="00052C77">
        <w:rPr>
          <w:rFonts w:ascii="IPAexゴシック" w:eastAsia="IPAexゴシック" w:hAnsi="IPAexゴシック"/>
          <w:color w:val="000000"/>
        </w:rPr>
        <w:t>9月の月別稼働可能時間、他業務・学業との両立、単価算定方法を本人確認し、Webフォーム入力2の実施費用総額と一致させる。既存会社・研究室の人員、設備、コード、顧客を用いる場合は、個人応募の委託費と二重計上しない。</w:t>
      </w:r>
    </w:p>
    <w:p w14:paraId="7BB1A8B5" w14:textId="69A21B5E" w:rsidR="00052C77" w:rsidRPr="00052C77" w:rsidRDefault="00052C77" w:rsidP="00052C77">
      <w:pPr>
        <w:keepNext/>
        <w:keepLines/>
        <w:widowControl/>
        <w:spacing w:before="180" w:after="80" w:line="360" w:lineRule="exact"/>
        <w:ind w:left="425"/>
        <w:jc w:val="left"/>
        <w:rPr>
          <w:rFonts w:ascii="IPAexゴシック" w:eastAsia="IPAexゴシック" w:hAnsi="IPAexゴシック" w:hint="eastAsia"/>
          <w:b/>
          <w:color w:val="000000"/>
        </w:rPr>
      </w:pPr>
      <w:r w:rsidRPr="00052C77">
        <w:rPr>
          <w:rFonts w:ascii="IPAexゴシック" w:eastAsia="IPAexゴシック" w:hAnsi="IPAexゴシック" w:hint="eastAsia"/>
          <w:b/>
          <w:color w:val="000000"/>
        </w:rPr>
        <w:t>⑨提案プロジェクトと所属企業が行うビジネスモデル・技術開発との差異（提案者のいずれかが企業等に所属する場合のみ）</w:t>
      </w:r>
    </w:p>
    <w:p w14:paraId="383E2F7A" w14:textId="36A97AEE" w:rsidR="00052C77" w:rsidRPr="00052C77" w:rsidRDefault="00052C77" w:rsidP="00052C77">
      <w:pPr>
        <w:widowControl/>
        <w:spacing w:after="60" w:line="310" w:lineRule="exact"/>
        <w:ind w:firstLine="210"/>
        <w:rPr>
          <w:rFonts w:ascii="IPAexゴシック" w:eastAsia="IPAexゴシック" w:hAnsi="IPAexゴシック"/>
          <w:color w:val="000000"/>
        </w:rPr>
      </w:pPr>
      <w:r w:rsidRPr="00052C77">
        <w:rPr>
          <w:rFonts w:ascii="IPAexゴシック" w:eastAsia="IPAexゴシック" w:hAnsi="IPAexゴシック" w:hint="eastAsia"/>
          <w:color w:val="000000"/>
        </w:rPr>
        <w:t>小幡氏は音声</w:t>
      </w:r>
      <w:r w:rsidRPr="00052C77">
        <w:rPr>
          <w:rFonts w:ascii="IPAexゴシック" w:eastAsia="IPAexゴシック" w:hAnsi="IPAexゴシック"/>
          <w:color w:val="000000"/>
        </w:rPr>
        <w:t>AI領域で起業しているとの本人申告があるが、会社名、既存製品、技術、コード、顧客、売上、投資、知財はリポジトリ上で未確認である。本提案は、一般的な会話AI、音声認識API、音声エージェント受託ではなく、物理AIの実行中の委任撤回・訂正を扱うStreaming IR、行為契約、端末上Safety Monitor、HIL評価基盤を新規開発対象とする。</w:t>
      </w:r>
    </w:p>
    <w:p w14:paraId="3E312821" w14:textId="7EDD5493" w:rsidR="00052C77" w:rsidRPr="00052C77" w:rsidRDefault="00052C77" w:rsidP="00052C77">
      <w:pPr>
        <w:widowControl/>
        <w:spacing w:before="60" w:after="60" w:line="310" w:lineRule="exact"/>
        <w:ind w:left="210" w:right="210"/>
        <w:rPr>
          <w:rFonts w:ascii="IPAexゴシック" w:eastAsia="IPAexゴシック" w:hAnsi="IPAexゴシック"/>
          <w:i/>
          <w:color w:val="000000"/>
        </w:rPr>
      </w:pPr>
      <w:r w:rsidRPr="00052C77">
        <w:rPr>
          <w:rFonts w:ascii="IPAexゴシック" w:eastAsia="IPAexゴシック" w:hAnsi="IPAexゴシック"/>
          <w:i/>
          <w:color w:val="000000"/>
        </w:rPr>
        <w:t>[要本人・会社確認] 応募前に、既存会社と本提案を、目的、顧客、コードリポジトリ、背景知財、データ、設備、勤務時間、契約、経費、成果知財の帰属で対照表にする。既存事業のコード、顧客、秘密情報、会社稼働を無断転用せず、本プロジェクト固有のリポジトリ、顧客合意、作業記録、経費を分離する。研究室・勤務先についても競業、秘密保持、設備・試料利用、成果知財の承諾を確認する。</w:t>
      </w:r>
    </w:p>
    <w:sectPr w:rsidR="009B7B11" w:rsidRPr="00BB2ED4">
      <w:footerReference w:type="default" r:id="rId7"/>
      <w:type w:val="continuous"/>
      <w:pgSz w:w="11906" w:h="16838" w:code="9"/>
      <w:pgMar w:top="1134" w:right="1134" w:bottom="1134" w:left="1418" w:header="1134" w:footer="567"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817D" w14:textId="77777777" w:rsidR="003D0BBC" w:rsidRDefault="003D0BBC">
      <w:r>
        <w:separator/>
      </w:r>
    </w:p>
  </w:endnote>
  <w:endnote w:type="continuationSeparator" w:id="0">
    <w:p w14:paraId="2A0B3FBA" w14:textId="77777777" w:rsidR="003D0BBC" w:rsidRDefault="003D0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IPAexゴシック">
    <w:panose1 w:val="020B0500000000000000"/>
    <w:charset w:val="80"/>
    <w:family w:val="modern"/>
    <w:pitch w:val="variable"/>
    <w:sig w:usb0="E00002FF" w:usb1="3AC7EDFA" w:usb2="00000012" w:usb3="00000000" w:csb0="00020001" w:csb1="00000000"/>
  </w:font>
  <w:font w:name="?l?r ??fc">
    <w:altName w:val="ＭＳ 明朝"/>
    <w:panose1 w:val="00000000000000000000"/>
    <w:charset w:val="00"/>
    <w:family w:val="roman"/>
    <w:notTrueType/>
    <w:pitch w:val="fixed"/>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2C7" w14:textId="77777777" w:rsidR="005044A1" w:rsidRDefault="005044A1">
    <w:pPr>
      <w:pStyle w:val="a3"/>
      <w:framePr w:wrap="auto"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74FAD">
      <w:rPr>
        <w:rStyle w:val="a7"/>
        <w:noProof/>
      </w:rPr>
      <w:t>1</w:t>
    </w:r>
    <w:r>
      <w:rPr>
        <w:rStyle w:val="a7"/>
      </w:rPr>
      <w:fldChar w:fldCharType="end"/>
    </w:r>
  </w:p>
  <w:p w14:paraId="01620B6C" w14:textId="77777777" w:rsidR="005044A1" w:rsidRDefault="005044A1">
    <w:pPr>
      <w:pStyle w:val="a4"/>
      <w:rPr>
        <w:rFonts w:ascii="?l?r ??fc"/>
      </w:rPr>
    </w:pPr>
    <w:r>
      <w:rPr>
        <w:rFonts w:ascii="?l?r ??fc"/>
      </w:rPr>
      <w:tab/>
    </w:r>
    <w:r>
      <w:rPr>
        <w:rFonts w:ascii="?l?r ??fc"/>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4F6E" w14:textId="77777777" w:rsidR="003D0BBC" w:rsidRDefault="003D0BBC">
      <w:r>
        <w:separator/>
      </w:r>
    </w:p>
  </w:footnote>
  <w:footnote w:type="continuationSeparator" w:id="0">
    <w:p w14:paraId="34584C12" w14:textId="77777777" w:rsidR="003D0BBC" w:rsidRDefault="003D0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272"/>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abstractNum w:abstractNumId="1" w15:restartNumberingAfterBreak="0">
    <w:nsid w:val="3C4C7FDF"/>
    <w:multiLevelType w:val="singleLevel"/>
    <w:tmpl w:val="04090001"/>
    <w:lvl w:ilvl="0">
      <w:start w:val="1"/>
      <w:numFmt w:val="bullet"/>
      <w:lvlText w:val=""/>
      <w:lvlJc w:val="left"/>
      <w:pPr>
        <w:ind w:left="440" w:hanging="440"/>
      </w:pPr>
      <w:rPr>
        <w:rFonts w:ascii="Wingdings" w:hAnsi="Wingdings" w:hint="default"/>
      </w:rPr>
    </w:lvl>
  </w:abstractNum>
  <w:abstractNum w:abstractNumId="2" w15:restartNumberingAfterBreak="0">
    <w:nsid w:val="4117632F"/>
    <w:multiLevelType w:val="singleLevel"/>
    <w:tmpl w:val="04090001"/>
    <w:lvl w:ilvl="0">
      <w:start w:val="1"/>
      <w:numFmt w:val="bullet"/>
      <w:lvlText w:val=""/>
      <w:lvlJc w:val="left"/>
      <w:pPr>
        <w:ind w:left="440" w:hanging="440"/>
      </w:pPr>
      <w:rPr>
        <w:rFonts w:ascii="Wingdings" w:hAnsi="Wingdings" w:hint="default"/>
      </w:rPr>
    </w:lvl>
  </w:abstractNum>
  <w:abstractNum w:abstractNumId="3" w15:restartNumberingAfterBreak="0">
    <w:nsid w:val="4CC4319B"/>
    <w:multiLevelType w:val="singleLevel"/>
    <w:tmpl w:val="04090001"/>
    <w:lvl w:ilvl="0">
      <w:start w:val="1"/>
      <w:numFmt w:val="bullet"/>
      <w:lvlText w:val=""/>
      <w:lvlJc w:val="left"/>
      <w:pPr>
        <w:ind w:left="440" w:hanging="440"/>
      </w:pPr>
      <w:rPr>
        <w:rFonts w:ascii="Wingdings" w:hAnsi="Wingdings" w:hint="default"/>
      </w:rPr>
    </w:lvl>
  </w:abstractNum>
  <w:abstractNum w:abstractNumId="4" w15:restartNumberingAfterBreak="0">
    <w:nsid w:val="5B005E7C"/>
    <w:multiLevelType w:val="hybridMultilevel"/>
    <w:tmpl w:val="F38E3E4E"/>
    <w:lvl w:ilvl="0" w:tplc="F38626CC">
      <w:start w:val="1"/>
      <w:numFmt w:val="decimalEnclosedCircle"/>
      <w:lvlText w:val="%1"/>
      <w:lvlJc w:val="left"/>
      <w:pPr>
        <w:tabs>
          <w:tab w:val="num" w:pos="255"/>
        </w:tabs>
        <w:ind w:left="255" w:hanging="360"/>
      </w:pPr>
      <w:rPr>
        <w:rFonts w:hint="default"/>
      </w:rPr>
    </w:lvl>
    <w:lvl w:ilvl="1" w:tplc="04090017">
      <w:start w:val="1"/>
      <w:numFmt w:val="aiueoFullWidth"/>
      <w:lvlText w:val="(%2)"/>
      <w:lvlJc w:val="left"/>
      <w:pPr>
        <w:tabs>
          <w:tab w:val="num" w:pos="735"/>
        </w:tabs>
        <w:ind w:left="735" w:hanging="420"/>
      </w:pPr>
    </w:lvl>
    <w:lvl w:ilvl="2" w:tplc="04090011">
      <w:start w:val="1"/>
      <w:numFmt w:val="decimalEnclosedCircle"/>
      <w:lvlText w:val="%3"/>
      <w:lvlJc w:val="left"/>
      <w:pPr>
        <w:tabs>
          <w:tab w:val="num" w:pos="1155"/>
        </w:tabs>
        <w:ind w:left="1155" w:hanging="420"/>
      </w:pPr>
    </w:lvl>
    <w:lvl w:ilvl="3" w:tplc="0409000F" w:tentative="1">
      <w:start w:val="1"/>
      <w:numFmt w:val="decimal"/>
      <w:lvlText w:val="%4."/>
      <w:lvlJc w:val="left"/>
      <w:pPr>
        <w:tabs>
          <w:tab w:val="num" w:pos="1575"/>
        </w:tabs>
        <w:ind w:left="1575" w:hanging="420"/>
      </w:pPr>
    </w:lvl>
    <w:lvl w:ilvl="4" w:tplc="04090017" w:tentative="1">
      <w:start w:val="1"/>
      <w:numFmt w:val="aiueoFullWidth"/>
      <w:lvlText w:val="(%5)"/>
      <w:lvlJc w:val="left"/>
      <w:pPr>
        <w:tabs>
          <w:tab w:val="num" w:pos="1995"/>
        </w:tabs>
        <w:ind w:left="1995" w:hanging="420"/>
      </w:pPr>
    </w:lvl>
    <w:lvl w:ilvl="5" w:tplc="04090011" w:tentative="1">
      <w:start w:val="1"/>
      <w:numFmt w:val="decimalEnclosedCircle"/>
      <w:lvlText w:val="%6"/>
      <w:lvlJc w:val="left"/>
      <w:pPr>
        <w:tabs>
          <w:tab w:val="num" w:pos="2415"/>
        </w:tabs>
        <w:ind w:left="2415" w:hanging="420"/>
      </w:pPr>
    </w:lvl>
    <w:lvl w:ilvl="6" w:tplc="0409000F" w:tentative="1">
      <w:start w:val="1"/>
      <w:numFmt w:val="decimal"/>
      <w:lvlText w:val="%7."/>
      <w:lvlJc w:val="left"/>
      <w:pPr>
        <w:tabs>
          <w:tab w:val="num" w:pos="2835"/>
        </w:tabs>
        <w:ind w:left="2835" w:hanging="420"/>
      </w:pPr>
    </w:lvl>
    <w:lvl w:ilvl="7" w:tplc="04090017" w:tentative="1">
      <w:start w:val="1"/>
      <w:numFmt w:val="aiueoFullWidth"/>
      <w:lvlText w:val="(%8)"/>
      <w:lvlJc w:val="left"/>
      <w:pPr>
        <w:tabs>
          <w:tab w:val="num" w:pos="3255"/>
        </w:tabs>
        <w:ind w:left="3255" w:hanging="420"/>
      </w:pPr>
    </w:lvl>
    <w:lvl w:ilvl="8" w:tplc="04090011" w:tentative="1">
      <w:start w:val="1"/>
      <w:numFmt w:val="decimalEnclosedCircle"/>
      <w:lvlText w:val="%9"/>
      <w:lvlJc w:val="left"/>
      <w:pPr>
        <w:tabs>
          <w:tab w:val="num" w:pos="3675"/>
        </w:tabs>
        <w:ind w:left="3675" w:hanging="420"/>
      </w:pPr>
    </w:lvl>
  </w:abstractNum>
  <w:num w:numId="1" w16cid:durableId="174462892">
    <w:abstractNumId w:val="0"/>
  </w:num>
  <w:num w:numId="2" w16cid:durableId="1257247940">
    <w:abstractNumId w:val="4"/>
  </w:num>
  <w:num w:numId="3" w16cid:durableId="814104824">
    <w:abstractNumId w:val="1"/>
  </w:num>
  <w:num w:numId="4" w16cid:durableId="1394306834">
    <w:abstractNumId w:val="3"/>
  </w:num>
  <w:num w:numId="5" w16cid:durableId="1186598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oNotHyphenateCaps/>
  <w:drawingGridHorizontalSpacing w:val="211"/>
  <w:drawingGridVerticalSpacing w:val="145"/>
  <w:displayHorizontalDrawingGridEvery w:val="0"/>
  <w:displayVerticalDrawingGridEvery w:val="2"/>
  <w:doNotShadeFormData/>
  <w:characterSpacingControl w:val="compressPunctuation"/>
  <w:hdrShapeDefaults>
    <o:shapedefaults v:ext="edit" spidmax="358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24E"/>
    <w:rsid w:val="000165BA"/>
    <w:rsid w:val="00024CC2"/>
    <w:rsid w:val="00025018"/>
    <w:rsid w:val="00033F8C"/>
    <w:rsid w:val="00034E01"/>
    <w:rsid w:val="000404E5"/>
    <w:rsid w:val="000464AE"/>
    <w:rsid w:val="000464E1"/>
    <w:rsid w:val="000844FC"/>
    <w:rsid w:val="000A561F"/>
    <w:rsid w:val="000B7311"/>
    <w:rsid w:val="000D529A"/>
    <w:rsid w:val="000E424E"/>
    <w:rsid w:val="000F3F39"/>
    <w:rsid w:val="001171B7"/>
    <w:rsid w:val="00126799"/>
    <w:rsid w:val="001558F4"/>
    <w:rsid w:val="001603A7"/>
    <w:rsid w:val="00167AD8"/>
    <w:rsid w:val="00167C0F"/>
    <w:rsid w:val="00184959"/>
    <w:rsid w:val="001B6435"/>
    <w:rsid w:val="001B6B4E"/>
    <w:rsid w:val="001C1759"/>
    <w:rsid w:val="001C646C"/>
    <w:rsid w:val="001E0F11"/>
    <w:rsid w:val="002137E6"/>
    <w:rsid w:val="00261DA8"/>
    <w:rsid w:val="00272BC2"/>
    <w:rsid w:val="002901DE"/>
    <w:rsid w:val="00291CF5"/>
    <w:rsid w:val="002A42FF"/>
    <w:rsid w:val="002B499E"/>
    <w:rsid w:val="002B5B3A"/>
    <w:rsid w:val="002C32ED"/>
    <w:rsid w:val="002D3F41"/>
    <w:rsid w:val="002F5408"/>
    <w:rsid w:val="003171EE"/>
    <w:rsid w:val="00321EED"/>
    <w:rsid w:val="003221AE"/>
    <w:rsid w:val="00325C39"/>
    <w:rsid w:val="00361A71"/>
    <w:rsid w:val="003D0BBC"/>
    <w:rsid w:val="003D56A9"/>
    <w:rsid w:val="003E7AE8"/>
    <w:rsid w:val="004216FC"/>
    <w:rsid w:val="004238C4"/>
    <w:rsid w:val="00443FBC"/>
    <w:rsid w:val="00477DF4"/>
    <w:rsid w:val="00482C22"/>
    <w:rsid w:val="00494032"/>
    <w:rsid w:val="00496B86"/>
    <w:rsid w:val="00497608"/>
    <w:rsid w:val="004D1070"/>
    <w:rsid w:val="004F1023"/>
    <w:rsid w:val="005044A1"/>
    <w:rsid w:val="00507DD1"/>
    <w:rsid w:val="00512712"/>
    <w:rsid w:val="005474C8"/>
    <w:rsid w:val="005478EB"/>
    <w:rsid w:val="00574FAD"/>
    <w:rsid w:val="005763FE"/>
    <w:rsid w:val="005E1436"/>
    <w:rsid w:val="005E3FBC"/>
    <w:rsid w:val="00603ACF"/>
    <w:rsid w:val="00610342"/>
    <w:rsid w:val="006105CD"/>
    <w:rsid w:val="00620F05"/>
    <w:rsid w:val="00627FB4"/>
    <w:rsid w:val="00653B14"/>
    <w:rsid w:val="00681CA6"/>
    <w:rsid w:val="00684F4A"/>
    <w:rsid w:val="00690421"/>
    <w:rsid w:val="006948EA"/>
    <w:rsid w:val="006A2B65"/>
    <w:rsid w:val="006B1F24"/>
    <w:rsid w:val="006B3376"/>
    <w:rsid w:val="006B52F2"/>
    <w:rsid w:val="006C75BA"/>
    <w:rsid w:val="006E27F2"/>
    <w:rsid w:val="006E687B"/>
    <w:rsid w:val="006F0480"/>
    <w:rsid w:val="00716999"/>
    <w:rsid w:val="0072242A"/>
    <w:rsid w:val="007234B4"/>
    <w:rsid w:val="007547B2"/>
    <w:rsid w:val="00760FF0"/>
    <w:rsid w:val="0076282C"/>
    <w:rsid w:val="0076756A"/>
    <w:rsid w:val="00773478"/>
    <w:rsid w:val="00785A46"/>
    <w:rsid w:val="007A7E59"/>
    <w:rsid w:val="007C0BB8"/>
    <w:rsid w:val="007C346F"/>
    <w:rsid w:val="007C4F0C"/>
    <w:rsid w:val="007F099B"/>
    <w:rsid w:val="00807347"/>
    <w:rsid w:val="00823C15"/>
    <w:rsid w:val="0085478D"/>
    <w:rsid w:val="00855EC7"/>
    <w:rsid w:val="00876EF7"/>
    <w:rsid w:val="00881636"/>
    <w:rsid w:val="008A324C"/>
    <w:rsid w:val="008A5521"/>
    <w:rsid w:val="008C6119"/>
    <w:rsid w:val="008D1D72"/>
    <w:rsid w:val="008F05F8"/>
    <w:rsid w:val="00904F85"/>
    <w:rsid w:val="0092016F"/>
    <w:rsid w:val="00954A53"/>
    <w:rsid w:val="00955592"/>
    <w:rsid w:val="00965F99"/>
    <w:rsid w:val="00970430"/>
    <w:rsid w:val="00972149"/>
    <w:rsid w:val="009753A2"/>
    <w:rsid w:val="0098492D"/>
    <w:rsid w:val="00984D19"/>
    <w:rsid w:val="009B7B11"/>
    <w:rsid w:val="009D28D9"/>
    <w:rsid w:val="00A5102A"/>
    <w:rsid w:val="00A60591"/>
    <w:rsid w:val="00AA6C89"/>
    <w:rsid w:val="00AA7AC4"/>
    <w:rsid w:val="00AB6FB4"/>
    <w:rsid w:val="00AF0849"/>
    <w:rsid w:val="00B04BF7"/>
    <w:rsid w:val="00B625CB"/>
    <w:rsid w:val="00B77E93"/>
    <w:rsid w:val="00B85E8A"/>
    <w:rsid w:val="00B96A7A"/>
    <w:rsid w:val="00BB2ED4"/>
    <w:rsid w:val="00BE0683"/>
    <w:rsid w:val="00BE1B47"/>
    <w:rsid w:val="00C00DFD"/>
    <w:rsid w:val="00C051B8"/>
    <w:rsid w:val="00C0679A"/>
    <w:rsid w:val="00C25AF7"/>
    <w:rsid w:val="00C611AD"/>
    <w:rsid w:val="00C61831"/>
    <w:rsid w:val="00C6484D"/>
    <w:rsid w:val="00CA006C"/>
    <w:rsid w:val="00CC38F3"/>
    <w:rsid w:val="00CC7717"/>
    <w:rsid w:val="00CC77C7"/>
    <w:rsid w:val="00CD7EEF"/>
    <w:rsid w:val="00CF1803"/>
    <w:rsid w:val="00D0491E"/>
    <w:rsid w:val="00D23C53"/>
    <w:rsid w:val="00D37255"/>
    <w:rsid w:val="00D4711E"/>
    <w:rsid w:val="00DA2B38"/>
    <w:rsid w:val="00DC5498"/>
    <w:rsid w:val="00DC6F53"/>
    <w:rsid w:val="00DD04B2"/>
    <w:rsid w:val="00DE187B"/>
    <w:rsid w:val="00DF2EBC"/>
    <w:rsid w:val="00E27573"/>
    <w:rsid w:val="00E35580"/>
    <w:rsid w:val="00E91F65"/>
    <w:rsid w:val="00ED0B23"/>
    <w:rsid w:val="00F32086"/>
    <w:rsid w:val="00F36A97"/>
    <w:rsid w:val="00F4309E"/>
    <w:rsid w:val="00F54356"/>
    <w:rsid w:val="00F56E82"/>
    <w:rsid w:val="00F92711"/>
    <w:rsid w:val="00FA30A9"/>
    <w:rsid w:val="00FC2F08"/>
    <w:rsid w:val="00FC685D"/>
    <w:rsid w:val="00FE52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v:textbox inset="5.85pt,.7pt,5.85pt,.7pt"/>
    </o:shapedefaults>
    <o:shapelayout v:ext="edit">
      <o:idmap v:ext="edit" data="1"/>
    </o:shapelayout>
  </w:shapeDefaults>
  <w:decimalSymbol w:val="."/>
  <w:listSeparator w:val=","/>
  <w14:docId w14:val="0B70F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spacing w:line="340" w:lineRule="atLeast"/>
      <w:jc w:val="both"/>
      <w:textAlignment w:val="baseline"/>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763"/>
        <w:tab w:val="right" w:pos="9526"/>
      </w:tabs>
      <w:spacing w:line="360" w:lineRule="atLeast"/>
    </w:pPr>
  </w:style>
  <w:style w:type="paragraph" w:styleId="a4">
    <w:name w:val="header"/>
    <w:basedOn w:val="a"/>
    <w:pPr>
      <w:tabs>
        <w:tab w:val="center" w:pos="4763"/>
        <w:tab w:val="right" w:pos="9526"/>
      </w:tabs>
      <w:spacing w:line="360" w:lineRule="atLeast"/>
    </w:pPr>
  </w:style>
  <w:style w:type="paragraph" w:styleId="a5">
    <w:name w:val="Body Text"/>
    <w:basedOn w:val="a"/>
    <w:rPr>
      <w:sz w:val="24"/>
    </w:rPr>
  </w:style>
  <w:style w:type="paragraph" w:customStyle="1" w:styleId="21">
    <w:name w:val="本文インデント 21"/>
    <w:basedOn w:val="a"/>
    <w:pPr>
      <w:ind w:left="360" w:firstLine="180"/>
    </w:pPr>
    <w:rPr>
      <w:sz w:val="20"/>
    </w:rPr>
  </w:style>
  <w:style w:type="paragraph" w:customStyle="1" w:styleId="31">
    <w:name w:val="本文インデント 31"/>
    <w:basedOn w:val="a"/>
    <w:pPr>
      <w:autoSpaceDE/>
      <w:autoSpaceDN/>
      <w:spacing w:line="240" w:lineRule="auto"/>
      <w:ind w:firstLine="7"/>
    </w:pPr>
    <w:rPr>
      <w:rFonts w:hAnsi="Century"/>
      <w:color w:val="000000"/>
      <w:kern w:val="2"/>
      <w:sz w:val="24"/>
    </w:rPr>
  </w:style>
  <w:style w:type="paragraph" w:styleId="a6">
    <w:name w:val="Closing"/>
    <w:basedOn w:val="a"/>
    <w:next w:val="a"/>
    <w:pPr>
      <w:jc w:val="right"/>
    </w:pPr>
    <w:rPr>
      <w:sz w:val="24"/>
    </w:rPr>
  </w:style>
  <w:style w:type="paragraph" w:customStyle="1" w:styleId="210">
    <w:name w:val="本文 21"/>
    <w:basedOn w:val="a"/>
    <w:rPr>
      <w:rFonts w:ascii="ＭＳ ゴシック" w:eastAsia="ＭＳ ゴシック"/>
      <w:sz w:val="22"/>
    </w:rPr>
  </w:style>
  <w:style w:type="character" w:customStyle="1" w:styleId="1">
    <w:name w:val="ハイパーリンク1"/>
    <w:rPr>
      <w:color w:val="0000FF"/>
      <w:u w:val="single"/>
    </w:rPr>
  </w:style>
  <w:style w:type="character" w:customStyle="1" w:styleId="10">
    <w:name w:val="表示したハイパーリンク1"/>
    <w:rPr>
      <w:color w:val="800080"/>
      <w:u w:val="single"/>
    </w:rPr>
  </w:style>
  <w:style w:type="character" w:styleId="a7">
    <w:name w:val="page number"/>
    <w:basedOn w:val="a0"/>
  </w:style>
  <w:style w:type="paragraph" w:styleId="a8">
    <w:name w:val="Revision"/>
    <w:hidden/>
    <w:uiPriority w:val="99"/>
    <w:semiHidden/>
    <w:rsid w:val="002B5B3A"/>
    <w:rPr>
      <w:rFonts w:ascii="ＭＳ 明朝"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341</Words>
  <Characters>1950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2021-10-29T08:34:00Z</dcterms:created>
  <dcterms:modified xsi:type="dcterms:W3CDTF">2026-07-03T03:01:00Z</dcterms:modified>
</cp:coreProperties>
</file>