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6AF24">
      <w:pPr>
        <w:jc w:val="center"/>
      </w:pPr>
      <w:r>
        <w:rPr>
          <w:rFonts w:ascii="Calibri" w:hAnsi="Calibri" w:eastAsia="黑体"/>
          <w:b/>
          <w:color w:val="1F3A5F"/>
          <w:sz w:val="36"/>
        </w:rPr>
        <w:t>项目统一标准与分工手册</w:t>
      </w:r>
    </w:p>
    <w:p w14:paraId="435F352F">
      <w:pPr>
        <w:jc w:val="center"/>
      </w:pPr>
      <w:r>
        <w:rPr>
          <w:rFonts w:ascii="Calibri" w:hAnsi="Calibri" w:eastAsia="宋体"/>
          <w:b w:val="0"/>
          <w:color w:val="555555"/>
          <w:sz w:val="22"/>
        </w:rPr>
        <w:t>智慧气象赛道 · 站点短时强降水预报</w:t>
      </w:r>
    </w:p>
    <w:p w14:paraId="743656D1">
      <w:pPr>
        <w:spacing w:after="60"/>
      </w:pPr>
    </w:p>
    <w:p w14:paraId="1AE9432B">
      <w:pPr>
        <w:spacing w:before="200" w:after="80"/>
        <w:rPr>
          <w:rFonts w:hint="eastAsia" w:eastAsia="黑体"/>
          <w:lang w:val="en-US" w:eastAsia="zh-CN"/>
        </w:rPr>
      </w:pPr>
      <w:r>
        <w:rPr>
          <w:rFonts w:ascii="Calibri" w:hAnsi="Calibri" w:eastAsia="黑体"/>
          <w:b/>
          <w:color w:val="1F3A5F"/>
          <w:sz w:val="30"/>
        </w:rPr>
        <w:t>一、</w:t>
      </w:r>
      <w:r>
        <w:rPr>
          <w:rFonts w:hint="eastAsia" w:eastAsia="黑体"/>
          <w:b/>
          <w:color w:val="1F3A5F"/>
          <w:sz w:val="30"/>
          <w:lang w:val="en-US" w:eastAsia="zh-CN"/>
        </w:rPr>
        <w:t>概括</w:t>
      </w:r>
    </w:p>
    <w:p w14:paraId="3E4DD930">
      <w:pPr>
        <w:spacing w:after="60"/>
      </w:pPr>
      <w:r>
        <w:rPr>
          <w:rFonts w:ascii="Calibri" w:hAnsi="Calibri" w:eastAsia="宋体"/>
          <w:b/>
          <w:color w:val="1F3A5F"/>
          <w:sz w:val="22"/>
        </w:rPr>
        <w:t>数据集用 CIKM 2017（免费、小、快），模型用现代编码器（3D-CNN + 注意力），核心创新聚焦“强降水感知训练”，学长 + 2 名队员三人分工，10/15 前完成提交。</w:t>
      </w:r>
    </w:p>
    <w:p w14:paraId="327BEA63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二、数据集标准（主用 CIKM 2017）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6727"/>
      </w:tblGrid>
      <w:tr w14:paraId="63A6A018">
        <w:trPr>
          <w:jc w:val="center"/>
        </w:trPr>
        <w:tc>
          <w:tcPr>
            <w:tcW w:w="2268" w:type="dxa"/>
            <w:shd w:val="clear" w:color="auto" w:fill="1F3A5F"/>
          </w:tcPr>
          <w:p w14:paraId="2E16FD31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1F3A5F"/>
          </w:tcPr>
          <w:p w14:paraId="3D5DBFD2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统一标准</w:t>
            </w:r>
          </w:p>
        </w:tc>
      </w:tr>
      <w:tr w14:paraId="5A88D9D1">
        <w:trPr>
          <w:jc w:val="center"/>
        </w:trPr>
        <w:tc>
          <w:tcPr>
            <w:tcW w:w="2268" w:type="dxa"/>
          </w:tcPr>
          <w:p w14:paraId="61FF65C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数据集</w:t>
            </w:r>
          </w:p>
        </w:tc>
        <w:tc>
          <w:tcPr>
            <w:tcW w:w="7087" w:type="dxa"/>
          </w:tcPr>
          <w:p w14:paraId="58F11711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CIKM AnalytiCup 2017（深圳气象局 + 阿里云 + CIKM 2017 主办）</w:t>
            </w:r>
          </w:p>
        </w:tc>
      </w:tr>
      <w:tr w14:paraId="47A46970">
        <w:trPr>
          <w:jc w:val="center"/>
        </w:trPr>
        <w:tc>
          <w:tcPr>
            <w:tcW w:w="2268" w:type="dxa"/>
          </w:tcPr>
          <w:p w14:paraId="76646DC6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下载</w:t>
            </w:r>
          </w:p>
        </w:tc>
        <w:tc>
          <w:tcPr>
            <w:tcW w:w="7087" w:type="dxa"/>
          </w:tcPr>
          <w:p w14:paraId="11AC23AE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天池平台注册后下载（免费，约 2GB，CC BY-NC-SA 许可）</w:t>
            </w:r>
          </w:p>
        </w:tc>
      </w:tr>
      <w:tr w14:paraId="75D37839">
        <w:trPr>
          <w:jc w:val="center"/>
        </w:trPr>
        <w:tc>
          <w:tcPr>
            <w:tcW w:w="2268" w:type="dxa"/>
          </w:tcPr>
          <w:p w14:paraId="0FB46C37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输入</w:t>
            </w:r>
          </w:p>
        </w:tc>
        <w:tc>
          <w:tcPr>
            <w:tcW w:w="7087" w:type="dxa"/>
          </w:tcPr>
          <w:p w14:paraId="6E1E972A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雷达反射率图：15 个时刻（6 分钟间隔）× 4 个高度（0.5/1.5/2.5/3.5km）× 101×101 网格</w:t>
            </w:r>
          </w:p>
        </w:tc>
      </w:tr>
      <w:tr w14:paraId="3CB2E589">
        <w:trPr>
          <w:jc w:val="center"/>
        </w:trPr>
        <w:tc>
          <w:tcPr>
            <w:tcW w:w="2268" w:type="dxa"/>
          </w:tcPr>
          <w:p w14:paraId="48492C91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输出</w:t>
            </w:r>
          </w:p>
        </w:tc>
        <w:tc>
          <w:tcPr>
            <w:tcW w:w="7087" w:type="dxa"/>
          </w:tcPr>
          <w:p w14:paraId="7AA253BF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目标站点（中心点）未来 1–2 小时总降水量</w:t>
            </w:r>
          </w:p>
        </w:tc>
      </w:tr>
      <w:tr w14:paraId="0C32E4B6">
        <w:trPr>
          <w:jc w:val="center"/>
        </w:trPr>
        <w:tc>
          <w:tcPr>
            <w:tcW w:w="2268" w:type="dxa"/>
          </w:tcPr>
          <w:p w14:paraId="1D8599D2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规模</w:t>
            </w:r>
          </w:p>
        </w:tc>
        <w:tc>
          <w:tcPr>
            <w:tcW w:w="7087" w:type="dxa"/>
          </w:tcPr>
          <w:p w14:paraId="01154F42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训练 10000 / 测试第一阶段 2000 / 测试第二阶段 2000</w:t>
            </w:r>
          </w:p>
        </w:tc>
      </w:tr>
      <w:tr w14:paraId="713847B1">
        <w:trPr>
          <w:jc w:val="center"/>
        </w:trPr>
        <w:tc>
          <w:tcPr>
            <w:tcW w:w="2268" w:type="dxa"/>
          </w:tcPr>
          <w:p w14:paraId="2905B203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灵活用法</w:t>
            </w:r>
          </w:p>
        </w:tc>
        <w:tc>
          <w:tcPr>
            <w:tcW w:w="7087" w:type="dxa"/>
          </w:tcPr>
          <w:p w14:paraId="37D8E207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对比基线：直接引用 HKO-7 / SEVIR 已发表指标数字，无需下载对应数据集</w:t>
            </w:r>
          </w:p>
        </w:tc>
      </w:tr>
    </w:tbl>
    <w:p w14:paraId="6EA97B6B">
      <w:pPr>
        <w:spacing w:after="40"/>
      </w:pPr>
    </w:p>
    <w:p w14:paraId="0DAF1B64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三、任务定义</w:t>
      </w:r>
    </w:p>
    <w:p w14:paraId="480248F1">
      <w:pPr>
        <w:spacing w:after="60"/>
      </w:pPr>
      <w:r>
        <w:rPr>
          <w:rFonts w:ascii="Calibri" w:hAnsi="Calibri" w:eastAsia="宋体"/>
          <w:b w:val="0"/>
          <w:sz w:val="22"/>
        </w:rPr>
        <w:t>给定过去 90 分钟（15 帧 × 4 高度）的雷达反射率图，预测目标站点未来 1–2 小时的降水量，重点保证对大雨（强降水）的预测精度。</w:t>
      </w:r>
    </w:p>
    <w:p w14:paraId="433CBB73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四、模型标准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253"/>
        <w:gridCol w:w="3903"/>
      </w:tblGrid>
      <w:tr w14:paraId="318CBF0C">
        <w:trPr>
          <w:jc w:val="center"/>
        </w:trPr>
        <w:tc>
          <w:tcPr>
            <w:tcW w:w="1814" w:type="dxa"/>
            <w:shd w:val="clear" w:color="auto" w:fill="1F3A5F"/>
          </w:tcPr>
          <w:p w14:paraId="1261F7F7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w="3402" w:type="dxa"/>
            <w:shd w:val="clear" w:color="auto" w:fill="1F3A5F"/>
          </w:tcPr>
          <w:p w14:paraId="0327B82B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模型</w:t>
            </w:r>
          </w:p>
        </w:tc>
        <w:tc>
          <w:tcPr>
            <w:tcW w:w="4139" w:type="dxa"/>
            <w:shd w:val="clear" w:color="auto" w:fill="1F3A5F"/>
          </w:tcPr>
          <w:p w14:paraId="6537BFB8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说明</w:t>
            </w:r>
          </w:p>
        </w:tc>
      </w:tr>
      <w:tr w14:paraId="0C0CCD35">
        <w:trPr>
          <w:jc w:val="center"/>
        </w:trPr>
        <w:tc>
          <w:tcPr>
            <w:tcW w:w="1814" w:type="dxa"/>
          </w:tcPr>
          <w:p w14:paraId="6CEEFEEE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主模型</w:t>
            </w:r>
          </w:p>
        </w:tc>
        <w:tc>
          <w:tcPr>
            <w:tcW w:w="3402" w:type="dxa"/>
          </w:tcPr>
          <w:p w14:paraId="0FD68E22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3D-CNN + 注意力（CBAM/SE）编码器</w:t>
            </w:r>
          </w:p>
        </w:tc>
        <w:tc>
          <w:tcPr>
            <w:tcW w:w="4139" w:type="dxa"/>
          </w:tcPr>
          <w:p w14:paraId="6EBFFD31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现代、易实现；避免“老 ConvLSTM 纯 RNN”</w:t>
            </w:r>
          </w:p>
        </w:tc>
      </w:tr>
      <w:tr w14:paraId="612C7AEF">
        <w:trPr>
          <w:jc w:val="center"/>
        </w:trPr>
        <w:tc>
          <w:tcPr>
            <w:tcW w:w="1814" w:type="dxa"/>
          </w:tcPr>
          <w:p w14:paraId="0508DDC0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备选主模型</w:t>
            </w:r>
          </w:p>
        </w:tc>
        <w:tc>
          <w:tcPr>
            <w:tcW w:w="3402" w:type="dxa"/>
          </w:tcPr>
          <w:p w14:paraId="3CC72FBB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轻量 Transformer 编码器（可选加分）</w:t>
            </w:r>
          </w:p>
        </w:tc>
        <w:tc>
          <w:tcPr>
            <w:tcW w:w="4139" w:type="dxa"/>
          </w:tcPr>
          <w:p w14:paraId="091CCFB4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若时间富余再上</w:t>
            </w:r>
          </w:p>
        </w:tc>
      </w:tr>
      <w:tr w14:paraId="72C333D6">
        <w:trPr>
          <w:jc w:val="center"/>
        </w:trPr>
        <w:tc>
          <w:tcPr>
            <w:tcW w:w="1814" w:type="dxa"/>
          </w:tcPr>
          <w:p w14:paraId="3752974D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对比基线</w:t>
            </w:r>
          </w:p>
        </w:tc>
        <w:tc>
          <w:tcPr>
            <w:tcW w:w="3402" w:type="dxa"/>
          </w:tcPr>
          <w:p w14:paraId="7E13219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经典 CNN 编码器、ConvLSTM、光流法</w:t>
            </w:r>
          </w:p>
        </w:tc>
        <w:tc>
          <w:tcPr>
            <w:tcW w:w="4139" w:type="dxa"/>
          </w:tcPr>
          <w:p w14:paraId="1615EEB3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用于“与现有方案对比”，体现改进</w:t>
            </w:r>
          </w:p>
        </w:tc>
      </w:tr>
      <w:tr w14:paraId="63E562F8">
        <w:trPr>
          <w:jc w:val="center"/>
        </w:trPr>
        <w:tc>
          <w:tcPr>
            <w:tcW w:w="1814" w:type="dxa"/>
          </w:tcPr>
          <w:p w14:paraId="6E76A7C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框架</w:t>
            </w:r>
          </w:p>
        </w:tc>
        <w:tc>
          <w:tcPr>
            <w:tcW w:w="3402" w:type="dxa"/>
          </w:tcPr>
          <w:p w14:paraId="2987A8F7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PyTorch</w:t>
            </w:r>
          </w:p>
        </w:tc>
        <w:tc>
          <w:tcPr>
            <w:tcW w:w="4139" w:type="dxa"/>
          </w:tcPr>
          <w:p w14:paraId="239083F6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统一实现与复现</w:t>
            </w:r>
          </w:p>
        </w:tc>
      </w:tr>
    </w:tbl>
    <w:p w14:paraId="0868E8B6">
      <w:pPr>
        <w:spacing w:after="40"/>
      </w:pPr>
    </w:p>
    <w:p w14:paraId="77478A0F">
      <w:pPr>
        <w:spacing w:after="60"/>
      </w:pPr>
      <w:r>
        <w:rPr>
          <w:rFonts w:ascii="Calibri" w:hAnsi="Calibri" w:eastAsia="宋体"/>
          <w:b/>
          <w:color w:val="1F3A5F"/>
          <w:sz w:val="22"/>
        </w:rPr>
        <w:t>核心创新点（聚焦一点）：强降水感知训练——用 focal loss / 极端值损失（EVL）/ 分雨量档加权，解决“小雨多、大雨少”的类不平衡，重点提升大雨预测精度。</w:t>
      </w:r>
    </w:p>
    <w:p w14:paraId="5FD217A2">
      <w:pPr>
        <w:numPr>
          <w:ilvl w:val="0"/>
          <w:numId w:val="7"/>
        </w:numPr>
        <w:spacing w:before="200" w:after="80"/>
        <w:rPr>
          <w:rFonts w:ascii="Calibri" w:hAnsi="Calibri" w:eastAsia="黑体"/>
          <w:b/>
          <w:color w:val="1F3A5F"/>
          <w:sz w:val="30"/>
        </w:rPr>
      </w:pPr>
      <w:r>
        <w:rPr>
          <w:rFonts w:ascii="Calibri" w:hAnsi="Calibri" w:eastAsia="黑体"/>
          <w:b/>
          <w:color w:val="1F3A5F"/>
          <w:sz w:val="30"/>
        </w:rPr>
        <w:t>评价指标标准</w:t>
      </w:r>
    </w:p>
    <w:p w14:paraId="741170AE">
      <w:pPr>
        <w:numPr>
          <w:numId w:val="0"/>
        </w:numPr>
        <w:spacing w:before="200" w:after="80"/>
        <w:rPr>
          <w:rFonts w:ascii="Calibri" w:hAnsi="Calibri" w:eastAsia="黑体"/>
          <w:b/>
          <w:color w:val="1F3A5F"/>
          <w:sz w:val="30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3229"/>
        <w:gridCol w:w="4011"/>
      </w:tblGrid>
      <w:tr w14:paraId="3591C8F3">
        <w:trPr>
          <w:jc w:val="center"/>
        </w:trPr>
        <w:tc>
          <w:tcPr>
            <w:tcW w:w="1701" w:type="dxa"/>
            <w:shd w:val="clear" w:color="auto" w:fill="1F3A5F"/>
          </w:tcPr>
          <w:p w14:paraId="7EC40E1D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w="3402" w:type="dxa"/>
            <w:shd w:val="clear" w:color="auto" w:fill="1F3A5F"/>
          </w:tcPr>
          <w:p w14:paraId="55584093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w="4252" w:type="dxa"/>
            <w:shd w:val="clear" w:color="auto" w:fill="1F3A5F"/>
          </w:tcPr>
          <w:p w14:paraId="0070D592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说明</w:t>
            </w:r>
          </w:p>
        </w:tc>
      </w:tr>
      <w:tr w14:paraId="67953CBF">
        <w:trPr>
          <w:jc w:val="center"/>
        </w:trPr>
        <w:tc>
          <w:tcPr>
            <w:tcW w:w="1701" w:type="dxa"/>
          </w:tcPr>
          <w:p w14:paraId="08E76845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回归类</w:t>
            </w:r>
          </w:p>
        </w:tc>
        <w:tc>
          <w:tcPr>
            <w:tcW w:w="3402" w:type="dxa"/>
          </w:tcPr>
          <w:p w14:paraId="494F6C4E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RMSE / MAE</w:t>
            </w:r>
          </w:p>
        </w:tc>
        <w:tc>
          <w:tcPr>
            <w:tcW w:w="4252" w:type="dxa"/>
          </w:tcPr>
          <w:p w14:paraId="6DF6B782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总体预测误差</w:t>
            </w:r>
          </w:p>
        </w:tc>
      </w:tr>
      <w:tr w14:paraId="228AF994">
        <w:trPr>
          <w:jc w:val="center"/>
        </w:trPr>
        <w:tc>
          <w:tcPr>
            <w:tcW w:w="1701" w:type="dxa"/>
          </w:tcPr>
          <w:p w14:paraId="6039CFFE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分档命中</w:t>
            </w:r>
          </w:p>
        </w:tc>
        <w:tc>
          <w:tcPr>
            <w:tcW w:w="3402" w:type="dxa"/>
          </w:tcPr>
          <w:p w14:paraId="078C29B9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小雨 / 中雨 / 大雨 分档 CSI、命中率、误报率</w:t>
            </w:r>
          </w:p>
        </w:tc>
        <w:tc>
          <w:tcPr>
            <w:tcW w:w="4252" w:type="dxa"/>
          </w:tcPr>
          <w:p w14:paraId="4964F00F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核心：重点看大雨档提升</w:t>
            </w:r>
          </w:p>
        </w:tc>
      </w:tr>
      <w:tr w14:paraId="0FDC69EC">
        <w:trPr>
          <w:jc w:val="center"/>
        </w:trPr>
        <w:tc>
          <w:tcPr>
            <w:tcW w:w="1701" w:type="dxa"/>
          </w:tcPr>
          <w:p w14:paraId="75F116BC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综合</w:t>
            </w:r>
          </w:p>
        </w:tc>
        <w:tc>
          <w:tcPr>
            <w:tcW w:w="3402" w:type="dxa"/>
          </w:tcPr>
          <w:p w14:paraId="7F6651AF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与已发表基线对比（相对提升幅度）</w:t>
            </w:r>
          </w:p>
        </w:tc>
        <w:tc>
          <w:tcPr>
            <w:tcW w:w="4252" w:type="dxa"/>
          </w:tcPr>
          <w:p w14:paraId="744FE0F4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量化“相对现有方法提升多少”</w:t>
            </w:r>
          </w:p>
        </w:tc>
      </w:tr>
    </w:tbl>
    <w:p w14:paraId="7AD87CCC">
      <w:pPr>
        <w:spacing w:after="40"/>
      </w:pPr>
    </w:p>
    <w:p w14:paraId="443DBA2D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六、开发环境标准（统一）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6689"/>
      </w:tblGrid>
      <w:tr w14:paraId="5CACFDAB">
        <w:trPr>
          <w:jc w:val="center"/>
        </w:trPr>
        <w:tc>
          <w:tcPr>
            <w:tcW w:w="2268" w:type="dxa"/>
            <w:shd w:val="clear" w:color="auto" w:fill="1F3A5F"/>
          </w:tcPr>
          <w:p w14:paraId="168FBDE1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项</w:t>
            </w:r>
          </w:p>
        </w:tc>
        <w:tc>
          <w:tcPr>
            <w:tcW w:w="7087" w:type="dxa"/>
            <w:shd w:val="clear" w:color="auto" w:fill="1F3A5F"/>
          </w:tcPr>
          <w:p w14:paraId="17A6117A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统一标准</w:t>
            </w:r>
          </w:p>
        </w:tc>
      </w:tr>
      <w:tr w14:paraId="070C7899">
        <w:trPr>
          <w:jc w:val="center"/>
        </w:trPr>
        <w:tc>
          <w:tcPr>
            <w:tcW w:w="2268" w:type="dxa"/>
          </w:tcPr>
          <w:p w14:paraId="1E41A23A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Python</w:t>
            </w:r>
          </w:p>
        </w:tc>
        <w:tc>
          <w:tcPr>
            <w:tcW w:w="7087" w:type="dxa"/>
          </w:tcPr>
          <w:p w14:paraId="76D06D1E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3.9 或 3.10</w:t>
            </w:r>
          </w:p>
        </w:tc>
      </w:tr>
      <w:tr w14:paraId="51AE40FC">
        <w:trPr>
          <w:jc w:val="center"/>
        </w:trPr>
        <w:tc>
          <w:tcPr>
            <w:tcW w:w="2268" w:type="dxa"/>
          </w:tcPr>
          <w:p w14:paraId="123DDC63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PyTorch</w:t>
            </w:r>
          </w:p>
        </w:tc>
        <w:tc>
          <w:tcPr>
            <w:tcW w:w="7087" w:type="dxa"/>
          </w:tcPr>
          <w:p w14:paraId="1DAE6777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2.x（有 GPU 用 CUDA 版）</w:t>
            </w:r>
          </w:p>
        </w:tc>
      </w:tr>
      <w:tr w14:paraId="1388AAAF">
        <w:trPr>
          <w:jc w:val="center"/>
        </w:trPr>
        <w:tc>
          <w:tcPr>
            <w:tcW w:w="2268" w:type="dxa"/>
          </w:tcPr>
          <w:p w14:paraId="48F98739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关键依赖</w:t>
            </w:r>
          </w:p>
        </w:tc>
        <w:tc>
          <w:tcPr>
            <w:tcW w:w="7087" w:type="dxa"/>
          </w:tcPr>
          <w:p w14:paraId="3768B717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numpy、pandas、opencv-python、scikit-learn、matplotlib、tensorboard/wandb</w:t>
            </w:r>
          </w:p>
        </w:tc>
      </w:tr>
      <w:tr w14:paraId="3E6AF578">
        <w:trPr>
          <w:jc w:val="center"/>
        </w:trPr>
        <w:tc>
          <w:tcPr>
            <w:tcW w:w="2268" w:type="dxa"/>
          </w:tcPr>
          <w:p w14:paraId="090F76B5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随机种子</w:t>
            </w:r>
          </w:p>
        </w:tc>
        <w:tc>
          <w:tcPr>
            <w:tcW w:w="7087" w:type="dxa"/>
          </w:tcPr>
          <w:p w14:paraId="32775BA0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固定随机种子，保证可复现</w:t>
            </w:r>
          </w:p>
        </w:tc>
      </w:tr>
    </w:tbl>
    <w:p w14:paraId="5B90414C">
      <w:pPr>
        <w:spacing w:after="40"/>
      </w:pPr>
    </w:p>
    <w:p w14:paraId="53D7B611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七、分工（各自干什么）</w:t>
      </w:r>
    </w:p>
    <w:p w14:paraId="614ED383">
      <w:pPr>
        <w:spacing w:before="120" w:after="80"/>
      </w:pPr>
      <w:r>
        <w:rPr>
          <w:rFonts w:ascii="Calibri" w:hAnsi="Calibri" w:eastAsia="黑体"/>
          <w:b/>
          <w:color w:val="2E2E2E"/>
          <w:sz w:val="26"/>
        </w:rPr>
        <w:t>7.1 学长</w:t>
      </w:r>
      <w:bookmarkStart w:id="0" w:name="_GoBack"/>
      <w:bookmarkEnd w:id="0"/>
    </w:p>
    <w:p w14:paraId="2FE16901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方向与创新点最终定调。</w:t>
      </w:r>
    </w:p>
    <w:p w14:paraId="436B17B8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给出“强降水感知损失”的具体数学形式与实现要点（focal/EVL 公式、分档加权方案）。</w:t>
      </w:r>
    </w:p>
    <w:p w14:paraId="5FAC50E3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作品方案“创新性(25分)+AI技术(20分)”两部分的技术审校与表述把关。</w:t>
      </w:r>
    </w:p>
    <w:p w14:paraId="2CA16CA5">
      <w:pPr>
        <w:spacing w:before="120" w:after="80"/>
      </w:pPr>
      <w:r>
        <w:rPr>
          <w:rFonts w:ascii="Calibri" w:hAnsi="Calibri" w:eastAsia="黑体"/>
          <w:b/>
          <w:color w:val="2E2E2E"/>
          <w:sz w:val="26"/>
        </w:rPr>
        <w:t>7.2 队员①（数据 + 模型 + 训练）</w:t>
      </w:r>
    </w:p>
    <w:p w14:paraId="48EDDA3C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天池下载 CIKM 2017 数据并做预处理（切片、归一化、Z-R 转换）。</w:t>
      </w:r>
    </w:p>
    <w:p w14:paraId="219788BC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实现 3D-CNN + 注意力编码器，跑通训练。</w:t>
      </w:r>
    </w:p>
    <w:p w14:paraId="5F871C07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实现“强降水感知训练”模块（focal/EVL/分档加权）。</w:t>
      </w:r>
    </w:p>
    <w:p w14:paraId="7B89B06B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训练、调参、记录消融实验（基线 vs +强降水感知）。</w:t>
      </w:r>
    </w:p>
    <w:p w14:paraId="4296B1C7">
      <w:pPr>
        <w:spacing w:before="120" w:after="80"/>
      </w:pPr>
      <w:r>
        <w:rPr>
          <w:rFonts w:ascii="Calibri" w:hAnsi="Calibri" w:eastAsia="黑体"/>
          <w:b/>
          <w:color w:val="2E2E2E"/>
          <w:sz w:val="26"/>
        </w:rPr>
        <w:t>7.3 队员②（评价 + 文档 + 材料）</w:t>
      </w:r>
    </w:p>
    <w:p w14:paraId="5605AC2F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搭建评价脚本（RMSE/MAE + 分档命中/CSI）。</w:t>
      </w:r>
    </w:p>
    <w:p w14:paraId="6BC4FE49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生成图表：对比表、消融表、预测误差分布图。</w:t>
      </w:r>
    </w:p>
    <w:p w14:paraId="6307BCD6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撰写作品方案（按官方模板六章结构）。</w:t>
      </w:r>
    </w:p>
    <w:p w14:paraId="1BFC0CB0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制作答辩 PPT、录制演示视频、打包网盘并提交。</w:t>
      </w:r>
    </w:p>
    <w:p w14:paraId="592DA823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八、里程碑与时间线（截止 10/15）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402"/>
        <w:gridCol w:w="2490"/>
      </w:tblGrid>
      <w:tr w14:paraId="181F2D31">
        <w:trPr>
          <w:jc w:val="center"/>
        </w:trPr>
        <w:tc>
          <w:tcPr>
            <w:tcW w:w="1984" w:type="dxa"/>
            <w:shd w:val="clear" w:color="auto" w:fill="1F3A5F"/>
          </w:tcPr>
          <w:p w14:paraId="0CD611DC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时间</w:t>
            </w:r>
          </w:p>
        </w:tc>
        <w:tc>
          <w:tcPr>
            <w:tcW w:w="4535" w:type="dxa"/>
            <w:shd w:val="clear" w:color="auto" w:fill="1F3A5F"/>
          </w:tcPr>
          <w:p w14:paraId="1F21CD67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里程碑</w:t>
            </w:r>
          </w:p>
        </w:tc>
        <w:tc>
          <w:tcPr>
            <w:tcW w:w="2551" w:type="dxa"/>
            <w:shd w:val="clear" w:color="auto" w:fill="1F3A5F"/>
          </w:tcPr>
          <w:p w14:paraId="559ECD82">
            <w:pPr>
              <w:spacing w:after="0" w:line="240" w:lineRule="auto"/>
            </w:pPr>
            <w:r>
              <w:rPr>
                <w:rFonts w:ascii="Calibri" w:hAnsi="Calibri" w:eastAsia="黑体"/>
                <w:b/>
                <w:color w:val="FFFFFF"/>
                <w:sz w:val="21"/>
              </w:rPr>
              <w:t>交付人</w:t>
            </w:r>
          </w:p>
        </w:tc>
      </w:tr>
      <w:tr w14:paraId="4891047C">
        <w:trPr>
          <w:jc w:val="center"/>
        </w:trPr>
        <w:tc>
          <w:tcPr>
            <w:tcW w:w="1984" w:type="dxa"/>
          </w:tcPr>
          <w:p w14:paraId="60CF0816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9/26–9/30</w:t>
            </w:r>
          </w:p>
        </w:tc>
        <w:tc>
          <w:tcPr>
            <w:tcW w:w="4535" w:type="dxa"/>
          </w:tcPr>
          <w:p w14:paraId="5D0EFF9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数据下载+预处理完成；基线跑通；评价脚本就绪</w:t>
            </w:r>
          </w:p>
        </w:tc>
        <w:tc>
          <w:tcPr>
            <w:tcW w:w="2551" w:type="dxa"/>
          </w:tcPr>
          <w:p w14:paraId="72147E7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队员①②</w:t>
            </w:r>
          </w:p>
        </w:tc>
      </w:tr>
      <w:tr w14:paraId="1163B400">
        <w:trPr>
          <w:jc w:val="center"/>
        </w:trPr>
        <w:tc>
          <w:tcPr>
            <w:tcW w:w="1984" w:type="dxa"/>
          </w:tcPr>
          <w:p w14:paraId="36AA52A3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10/1–10/4</w:t>
            </w:r>
          </w:p>
        </w:tc>
        <w:tc>
          <w:tcPr>
            <w:tcW w:w="4535" w:type="dxa"/>
          </w:tcPr>
          <w:p w14:paraId="73F186DC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强降水感知损失实现；跑通训练</w:t>
            </w:r>
          </w:p>
        </w:tc>
        <w:tc>
          <w:tcPr>
            <w:tcW w:w="2551" w:type="dxa"/>
          </w:tcPr>
          <w:p w14:paraId="6B278DA6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队员①</w:t>
            </w:r>
          </w:p>
        </w:tc>
      </w:tr>
      <w:tr w14:paraId="3627D3CE">
        <w:trPr>
          <w:jc w:val="center"/>
        </w:trPr>
        <w:tc>
          <w:tcPr>
            <w:tcW w:w="1984" w:type="dxa"/>
          </w:tcPr>
          <w:p w14:paraId="22545471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10/5–10/7</w:t>
            </w:r>
          </w:p>
        </w:tc>
        <w:tc>
          <w:tcPr>
            <w:tcW w:w="4535" w:type="dxa"/>
          </w:tcPr>
          <w:p w14:paraId="2C3773B9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消融实验完成（基线 vs +强降水感知）</w:t>
            </w:r>
          </w:p>
        </w:tc>
        <w:tc>
          <w:tcPr>
            <w:tcW w:w="2551" w:type="dxa"/>
          </w:tcPr>
          <w:p w14:paraId="5E9B95FC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队员①+②</w:t>
            </w:r>
          </w:p>
        </w:tc>
      </w:tr>
      <w:tr w14:paraId="5CFD288C">
        <w:trPr>
          <w:jc w:val="center"/>
        </w:trPr>
        <w:tc>
          <w:tcPr>
            <w:tcW w:w="1984" w:type="dxa"/>
          </w:tcPr>
          <w:p w14:paraId="77CD5D9A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10/8–10/11</w:t>
            </w:r>
          </w:p>
        </w:tc>
        <w:tc>
          <w:tcPr>
            <w:tcW w:w="4535" w:type="dxa"/>
          </w:tcPr>
          <w:p w14:paraId="4D0BBA2F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作品方案初稿</w:t>
            </w:r>
          </w:p>
        </w:tc>
        <w:tc>
          <w:tcPr>
            <w:tcW w:w="2551" w:type="dxa"/>
          </w:tcPr>
          <w:p w14:paraId="62DF2D91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队员②（学长审）</w:t>
            </w:r>
          </w:p>
        </w:tc>
      </w:tr>
      <w:tr w14:paraId="6A31B23B">
        <w:trPr>
          <w:jc w:val="center"/>
        </w:trPr>
        <w:tc>
          <w:tcPr>
            <w:tcW w:w="1984" w:type="dxa"/>
          </w:tcPr>
          <w:p w14:paraId="1E791824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10/12–10/14</w:t>
            </w:r>
          </w:p>
        </w:tc>
        <w:tc>
          <w:tcPr>
            <w:tcW w:w="4535" w:type="dxa"/>
          </w:tcPr>
          <w:p w14:paraId="3F76A789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PPT + 演示视频 + 打包</w:t>
            </w:r>
          </w:p>
        </w:tc>
        <w:tc>
          <w:tcPr>
            <w:tcW w:w="2551" w:type="dxa"/>
          </w:tcPr>
          <w:p w14:paraId="4BAA6B48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队员②</w:t>
            </w:r>
          </w:p>
        </w:tc>
      </w:tr>
      <w:tr w14:paraId="144F5484">
        <w:trPr>
          <w:jc w:val="center"/>
        </w:trPr>
        <w:tc>
          <w:tcPr>
            <w:tcW w:w="1984" w:type="dxa"/>
          </w:tcPr>
          <w:p w14:paraId="716363C4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10/15 20:00</w:t>
            </w:r>
          </w:p>
        </w:tc>
        <w:tc>
          <w:tcPr>
            <w:tcW w:w="4535" w:type="dxa"/>
          </w:tcPr>
          <w:p w14:paraId="694A136A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官网提交全部材料</w:t>
            </w:r>
          </w:p>
        </w:tc>
        <w:tc>
          <w:tcPr>
            <w:tcW w:w="2551" w:type="dxa"/>
          </w:tcPr>
          <w:p w14:paraId="3E0C5284">
            <w:pPr>
              <w:spacing w:after="0" w:line="240" w:lineRule="auto"/>
            </w:pPr>
            <w:r>
              <w:rPr>
                <w:rFonts w:ascii="Calibri" w:hAnsi="Calibri" w:eastAsia="宋体"/>
                <w:b w:val="0"/>
                <w:sz w:val="21"/>
              </w:rPr>
              <w:t>队员②</w:t>
            </w:r>
          </w:p>
        </w:tc>
      </w:tr>
    </w:tbl>
    <w:p w14:paraId="54B8B9A4">
      <w:pPr>
        <w:spacing w:after="40"/>
      </w:pPr>
    </w:p>
    <w:p w14:paraId="2F232516">
      <w:pPr>
        <w:spacing w:before="200" w:after="80"/>
      </w:pPr>
      <w:r>
        <w:rPr>
          <w:rFonts w:ascii="Calibri" w:hAnsi="Calibri" w:eastAsia="黑体"/>
          <w:b/>
          <w:color w:val="1F3A5F"/>
          <w:sz w:val="30"/>
        </w:rPr>
        <w:t>九、命名与提交规范</w:t>
      </w:r>
    </w:p>
    <w:p w14:paraId="41D5F702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代码仓库统一一个，按 data/、models/、experiments/、eval/、docs/ 分目录。</w:t>
      </w:r>
    </w:p>
    <w:p w14:paraId="180A97DE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实验命名：模型名-数据-创新点-日期，如 cnn3d_cikm2017_focal_1005。</w:t>
      </w:r>
    </w:p>
    <w:p w14:paraId="15639AD0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网盘命名（官方要求）：参赛团队编号-智慧气象-作品名称-XX（材料名称）。</w:t>
      </w:r>
    </w:p>
    <w:p w14:paraId="30147E90">
      <w:pPr>
        <w:pStyle w:val="16"/>
        <w:spacing w:after="40"/>
      </w:pPr>
      <w:r>
        <w:rPr>
          <w:rFonts w:ascii="Calibri" w:hAnsi="Calibri" w:eastAsia="宋体"/>
          <w:b w:val="0"/>
          <w:sz w:val="22"/>
        </w:rPr>
        <w:t>所有材料不得出现学校名称与指导教师姓名。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E047F"/>
    <w:multiLevelType w:val="singleLevel"/>
    <w:tmpl w:val="EAFE047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9DF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恬咪西</cp:lastModifiedBy>
  <dcterms:modified xsi:type="dcterms:W3CDTF">2026-09-26T11:13:45Z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32EF8F5D37B307826938B76ABE63FEAC_42</vt:lpwstr>
  </property>
</Properties>
</file>