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Office Viewer Test Sample — Word</w:t>
      </w:r>
    </w:p>
    <w:p>
      <w:pPr>
        <w:pStyle w:val="Subtitle"/>
        <w:jc w:val="center"/>
      </w:pPr>
      <w:r>
        <w:t>Representative DOCX features for rendering and interaction tests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</w:tcPr>
          <w:p>
            <w:pPr>
              <w:spacing w:after="40"/>
            </w:pPr>
            <w:r>
              <w:rPr>
                <w:b/>
              </w:rPr>
              <w:t>Purpose</w:t>
            </w:r>
          </w:p>
        </w:tc>
        <w:tc>
          <w:tcPr>
            <w:tcW w:type="dxa" w:w="4824"/>
            <w:vAlign w:val="center"/>
          </w:tcPr>
          <w:p>
            <w:pPr>
              <w:spacing w:after="40"/>
            </w:pPr>
            <w:r>
              <w:t>Regression and feature validation for a web-based Office viewer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40"/>
            </w:pPr>
            <w:r>
              <w:rPr>
                <w:b/>
              </w:rPr>
              <w:t>Coverage</w:t>
            </w:r>
          </w:p>
        </w:tc>
        <w:tc>
          <w:tcPr>
            <w:tcW w:type="dxa" w:w="4824"/>
            <w:vAlign w:val="center"/>
          </w:tcPr>
          <w:p>
            <w:pPr>
              <w:spacing w:after="40"/>
            </w:pPr>
            <w:r>
              <w:t>Text styles, lists, tables, images, hyperlinks, headers/footers, page breaks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40"/>
            </w:pPr>
            <w:r>
              <w:rPr>
                <w:b/>
              </w:rPr>
              <w:t>Language mix</w:t>
            </w:r>
          </w:p>
        </w:tc>
        <w:tc>
          <w:tcPr>
            <w:tcW w:type="dxa" w:w="4824"/>
            <w:vAlign w:val="center"/>
          </w:tcPr>
          <w:p>
            <w:pPr>
              <w:spacing w:after="40"/>
            </w:pPr>
            <w:r>
              <w:t>English with a small Japanese line: 表示テスト用サンプル</w:t>
            </w:r>
          </w:p>
        </w:tc>
      </w:tr>
      <w:tr>
        <w:tc>
          <w:tcPr>
            <w:tcW w:type="dxa" w:w="4824"/>
            <w:vAlign w:val="center"/>
          </w:tcPr>
          <w:p>
            <w:pPr>
              <w:spacing w:after="40"/>
            </w:pPr>
            <w:r>
              <w:rPr>
                <w:b/>
              </w:rPr>
              <w:t>Created</w:t>
            </w:r>
          </w:p>
        </w:tc>
        <w:tc>
          <w:tcPr>
            <w:tcW w:type="dxa" w:w="4824"/>
            <w:vAlign w:val="center"/>
          </w:tcPr>
          <w:p>
            <w:pPr>
              <w:spacing w:after="40"/>
            </w:pPr>
            <w:r>
              <w:t>OpenAI-generated sample data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digital_image_displays_three_file_icons_with_the_batch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llout"/>
        <w:jc w:val="center"/>
      </w:pPr>
      <w:r>
        <w:rPr>
          <w:i/>
          <w:color w:val="666666"/>
        </w:rPr>
        <w:t>Figure 1. Embedded raster image for image rendering, scaling, and centering checks.</w:t>
      </w:r>
    </w:p>
    <w:p>
      <w:r>
        <w:br w:type="page"/>
      </w:r>
    </w:p>
    <w:p>
      <w:pPr>
        <w:pStyle w:val="Heading1"/>
      </w:pPr>
      <w:r>
        <w:t>1. Rich Text and Paragraph Features</w:t>
      </w:r>
    </w:p>
    <w:p>
      <w:r>
        <w:t xml:space="preserve">This sample includes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underlined</w:t>
      </w:r>
      <w:r>
        <w:t xml:space="preserve">, </w:t>
      </w:r>
      <w:r>
        <w:rPr>
          <w:color w:val="C0504D"/>
        </w:rPr>
        <w:t>colored</w:t>
      </w:r>
      <w:r>
        <w:t xml:space="preserve">, and </w:t>
      </w:r>
      <w:r>
        <w:rPr>
          <w:highlight w:val="yellow"/>
        </w:rPr>
        <w:t>highlighted</w:t>
      </w:r>
      <w:r>
        <w:t xml:space="preserve"> inline text. It also exercises paragraph spacing, line wrapping, and mixed content within a single run sequence.</w:t>
      </w:r>
    </w:p>
    <w:p>
      <w:pPr>
        <w:pStyle w:val="Callout"/>
        <w:ind w:left="288" w:right="288"/>
      </w:pPr>
      <w:r>
        <w:rPr>
          <w:i/>
        </w:rPr>
        <w:t>Note box: viewers should preserve indentation, spacing, and font styling inside callout-style paragraphs.</w:t>
      </w:r>
    </w:p>
    <w:p>
      <w:pPr>
        <w:pStyle w:val="Heading1"/>
      </w:pPr>
      <w:r>
        <w:t>2. Bulleted and Numbered Lists</w:t>
      </w:r>
    </w:p>
    <w:p>
      <w:pPr>
        <w:pStyle w:val="ListBullet"/>
      </w:pPr>
      <w:r>
        <w:t>Top-level bullet item with a moderate sentence length for wrapping behavior.</w:t>
      </w:r>
    </w:p>
    <w:p>
      <w:pPr>
        <w:pStyle w:val="ListBullet"/>
      </w:pPr>
      <w:r>
        <w:t>Second bullet item.</w:t>
      </w:r>
    </w:p>
    <w:p>
      <w:pPr>
        <w:pStyle w:val="ListBullet"/>
      </w:pPr>
      <w:r>
        <w:t xml:space="preserve">Third bullet item with </w:t>
      </w:r>
      <w:r>
        <w:rPr>
          <w:b/>
          <w:color w:val="1F4E79"/>
        </w:rPr>
        <w:t>mixed formatting</w:t>
      </w:r>
      <w:r>
        <w:t xml:space="preserve"> inside the same bullet.</w:t>
      </w:r>
    </w:p>
    <w:p>
      <w:pPr>
        <w:pStyle w:val="ListBullet2"/>
      </w:pPr>
      <w:r>
        <w:t>Nested bullet item.</w:t>
      </w:r>
    </w:p>
    <w:p>
      <w:pPr>
        <w:pStyle w:val="ListNumber"/>
      </w:pPr>
      <w:r>
        <w:t>First numbered step.</w:t>
      </w:r>
    </w:p>
    <w:p>
      <w:pPr>
        <w:pStyle w:val="ListNumber"/>
      </w:pPr>
      <w:r>
        <w:t>Second numbered step.</w:t>
      </w:r>
    </w:p>
    <w:p>
      <w:pPr>
        <w:pStyle w:val="ListNumber"/>
      </w:pPr>
      <w:r>
        <w:t>Third numbered step with a short note.</w:t>
      </w:r>
    </w:p>
    <w:p>
      <w:pPr>
        <w:pStyle w:val="Heading1"/>
      </w:pPr>
      <w:r>
        <w:t>3. Hyperlink and Quoted Text</w:t>
      </w:r>
    </w:p>
    <w:p>
      <w:r>
        <w:t xml:space="preserve">Reference link: </w:t>
      </w:r>
      <w:hyperlink r:id="rId12">
        <w:r>
          <w:rPr>
            <w:color w:val="0563C1"/>
            <w:u w:val="single"/>
          </w:rPr>
          <w:t>OpenAI</w:t>
        </w:r>
      </w:hyperlink>
      <w:r>
        <w:t xml:space="preserve"> — useful to verify clickable external hyperlinks in the viewer.</w:t>
      </w:r>
    </w:p>
    <w:p>
      <w:pPr>
        <w:ind w:left="576" w:right="360"/>
      </w:pPr>
      <w:r>
        <w:rPr>
          <w:i/>
          <w:color w:val="444444"/>
          <w:sz w:val="22"/>
        </w:rPr>
        <w:t>“A good document viewer must preserve structure, not just plain text.”</w:t>
      </w:r>
    </w:p>
    <w:p>
      <w:pPr>
        <w:pStyle w:val="Heading1"/>
      </w:pPr>
      <w:r>
        <w:t>4. Code-style Paragraph</w:t>
      </w:r>
    </w:p>
    <w:p>
      <w:pPr>
        <w:pStyle w:val="CodeBlock"/>
        <w:ind w:left="432"/>
      </w:pPr>
      <w:r>
        <w:t>render(file) -&gt; paginate() -&gt; layout() -&gt; paint()</w:t>
      </w:r>
    </w:p>
    <w:p>
      <w:r>
        <w:br w:type="page"/>
      </w:r>
    </w:p>
    <w:p>
      <w:pPr>
        <w:pStyle w:val="Heading1"/>
      </w:pPr>
      <w:r>
        <w:t>5. Table with Alignment and Wrapping</w:t>
      </w:r>
    </w:p>
    <w:p>
      <w:r>
        <w:t>The table below intentionally mixes compact values and longer descriptive text.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Priority</w:t>
            </w:r>
          </w:p>
        </w:tc>
        <w:tc>
          <w:tcPr>
            <w:tcW w:type="dxa" w:w="1930"/>
          </w:tcPr>
          <w:p>
            <w:pPr>
              <w:jc w:val="center"/>
            </w:pPr>
            <w:r>
              <w:rPr>
                <w:b/>
              </w:rPr>
              <w:t>Expected behavior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DOC-01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</w:pPr>
            <w:r>
              <w:t>Headers and footers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Layout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High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</w:pPr>
            <w:r>
              <w:t>Header text remains aligned right; footer page number stays centered.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DOC-02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</w:pPr>
            <w:r>
              <w:t>Hyperlinks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Interaction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High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</w:pPr>
            <w:r>
              <w:t>External links are visibly styled and can be selected.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DOC-03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</w:pPr>
            <w:r>
              <w:t>Images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Media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High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</w:pPr>
            <w:r>
              <w:t>Embedded images scale proportionally without cropping.</w:t>
            </w:r>
          </w:p>
        </w:tc>
      </w:tr>
      <w:tr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DOC-04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</w:pPr>
            <w:r>
              <w:t>Mixed inline styles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Text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  <w:jc w:val="center"/>
            </w:pPr>
            <w:r>
              <w:t>Medium</w:t>
            </w:r>
          </w:p>
        </w:tc>
        <w:tc>
          <w:tcPr>
            <w:tcW w:type="dxa" w:w="1930"/>
            <w:vAlign w:val="center"/>
          </w:tcPr>
          <w:p>
            <w:pPr>
              <w:spacing w:after="0"/>
            </w:pPr>
            <w:r>
              <w:t>Bold/italic/color/highlight segments remain distinct.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136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trend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13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llout"/>
        <w:jc w:val="center"/>
      </w:pPr>
      <w:r>
        <w:t>Figure 2. Sample chart image with axes, labels, bars, and a line series.</w:t>
      </w:r>
    </w:p>
    <w:p>
      <w:r>
        <w:br w:type="page"/>
      </w:r>
    </w:p>
    <w:p>
      <w:pPr>
        <w:pStyle w:val="Heading1"/>
      </w:pPr>
      <w:r>
        <w:t>6. Feature Matrix</w:t>
      </w:r>
    </w:p>
    <w:p>
      <w:r>
        <w:t>This page verifies repeated table rendering and page-break handling.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pPr>
              <w:jc w:val="center"/>
            </w:pPr>
            <w:r>
              <w:rPr>
                <w:b/>
              </w:rPr>
              <w:t>Area</w:t>
            </w:r>
          </w:p>
        </w:tc>
        <w:tc>
          <w:tcPr>
            <w:tcW w:type="dxa" w:w="1378"/>
          </w:tcPr>
          <w:p>
            <w:pPr>
              <w:jc w:val="center"/>
            </w:pPr>
            <w:r>
              <w:rPr>
                <w:b/>
              </w:rPr>
              <w:t>Sample</w:t>
            </w:r>
          </w:p>
        </w:tc>
        <w:tc>
          <w:tcPr>
            <w:tcW w:type="dxa" w:w="1378"/>
          </w:tcPr>
          <w:p>
            <w:pPr>
              <w:jc w:val="center"/>
            </w:pPr>
            <w:r>
              <w:rPr>
                <w:b/>
              </w:rPr>
              <w:t>Inline style</w:t>
            </w:r>
          </w:p>
        </w:tc>
        <w:tc>
          <w:tcPr>
            <w:tcW w:type="dxa" w:w="1378"/>
          </w:tcPr>
          <w:p>
            <w:pPr>
              <w:jc w:val="center"/>
            </w:pPr>
            <w:r>
              <w:rPr>
                <w:b/>
              </w:rPr>
              <w:t>Lists</w:t>
            </w:r>
          </w:p>
        </w:tc>
        <w:tc>
          <w:tcPr>
            <w:tcW w:type="dxa" w:w="1378"/>
          </w:tcPr>
          <w:p>
            <w:pPr>
              <w:jc w:val="center"/>
            </w:pPr>
            <w:r>
              <w:rPr>
                <w:b/>
              </w:rPr>
              <w:t>Table</w:t>
            </w:r>
          </w:p>
        </w:tc>
        <w:tc>
          <w:tcPr>
            <w:tcW w:type="dxa" w:w="1378"/>
          </w:tcPr>
          <w:p>
            <w:pPr>
              <w:jc w:val="center"/>
            </w:pPr>
            <w:r>
              <w:rPr>
                <w:b/>
              </w:rPr>
              <w:t>Image</w:t>
            </w:r>
          </w:p>
        </w:tc>
        <w:tc>
          <w:tcPr>
            <w:tcW w:type="dxa" w:w="1378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1378"/>
          </w:tcPr>
          <w:p>
            <w:pPr>
              <w:spacing w:after="0"/>
              <w:jc w:val="center"/>
            </w:pPr>
            <w:r>
              <w:t>Cover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Title page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—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—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Info table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Icons image</w:t>
            </w:r>
          </w:p>
        </w:tc>
        <w:tc>
          <w:tcPr>
            <w:tcW w:type="dxa" w:w="1378"/>
          </w:tcPr>
          <w:p>
            <w:pPr>
              <w:spacing w:after="0"/>
              <w:jc w:val="left"/>
            </w:pPr>
            <w:r>
              <w:t>Centered composition</w:t>
            </w:r>
          </w:p>
        </w:tc>
      </w:tr>
      <w:tr>
        <w:tc>
          <w:tcPr>
            <w:tcW w:type="dxa" w:w="1378"/>
          </w:tcPr>
          <w:p>
            <w:pPr>
              <w:spacing w:after="0"/>
              <w:jc w:val="center"/>
            </w:pPr>
            <w:r>
              <w:t>Text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Rich paragraph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Bold / italic / color / highlight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Bullets + numbering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—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—</w:t>
            </w:r>
          </w:p>
        </w:tc>
        <w:tc>
          <w:tcPr>
            <w:tcW w:type="dxa" w:w="1378"/>
          </w:tcPr>
          <w:p>
            <w:pPr>
              <w:spacing w:after="0"/>
              <w:jc w:val="left"/>
            </w:pPr>
            <w:r>
              <w:t>Mixed runs</w:t>
            </w:r>
          </w:p>
        </w:tc>
      </w:tr>
      <w:tr>
        <w:tc>
          <w:tcPr>
            <w:tcW w:type="dxa" w:w="1378"/>
          </w:tcPr>
          <w:p>
            <w:pPr>
              <w:spacing w:after="0"/>
              <w:jc w:val="center"/>
            </w:pPr>
            <w:r>
              <w:t>Table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Feature checklist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Normal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—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5 columns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Chart image below</w:t>
            </w:r>
          </w:p>
        </w:tc>
        <w:tc>
          <w:tcPr>
            <w:tcW w:type="dxa" w:w="1378"/>
          </w:tcPr>
          <w:p>
            <w:pPr>
              <w:spacing w:after="0"/>
              <w:jc w:val="left"/>
            </w:pPr>
            <w:r>
              <w:t>Wrap + alignment</w:t>
            </w:r>
          </w:p>
        </w:tc>
      </w:tr>
      <w:tr>
        <w:tc>
          <w:tcPr>
            <w:tcW w:type="dxa" w:w="1378"/>
          </w:tcPr>
          <w:p>
            <w:pPr>
              <w:spacing w:after="0"/>
              <w:jc w:val="center"/>
            </w:pPr>
            <w:r>
              <w:t>Appendix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Revision log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Normal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—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4 columns</w:t>
            </w:r>
          </w:p>
        </w:tc>
        <w:tc>
          <w:tcPr>
            <w:tcW w:type="dxa" w:w="1378"/>
          </w:tcPr>
          <w:p>
            <w:pPr>
              <w:spacing w:after="0"/>
              <w:jc w:val="center"/>
            </w:pPr>
            <w:r>
              <w:t>—</w:t>
            </w:r>
          </w:p>
        </w:tc>
        <w:tc>
          <w:tcPr>
            <w:tcW w:type="dxa" w:w="1378"/>
          </w:tcPr>
          <w:p>
            <w:pPr>
              <w:spacing w:after="0"/>
              <w:jc w:val="left"/>
            </w:pPr>
            <w:r>
              <w:t>Lightweight final page</w:t>
            </w:r>
          </w:p>
        </w:tc>
      </w:tr>
    </w:tbl>
    <w:p>
      <w:pPr>
        <w:pStyle w:val="Heading1"/>
      </w:pPr>
      <w:r>
        <w:t>Appendix A.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b/>
              </w:rPr>
              <w:t>Date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b/>
              </w:rPr>
              <w:t>Author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b/>
              </w:rPr>
              <w:t>Summary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t>2026-04-19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t>OpenAI</w:t>
            </w:r>
          </w:p>
        </w:tc>
        <w:tc>
          <w:tcPr>
            <w:tcW w:type="dxa" w:w="2412"/>
          </w:tcPr>
          <w:p>
            <w:r>
              <w:t>Initial sample with representative layout and formatting features.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t>2026-04-19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t>OpenAI</w:t>
            </w:r>
          </w:p>
        </w:tc>
        <w:tc>
          <w:tcPr>
            <w:tcW w:type="dxa" w:w="2412"/>
          </w:tcPr>
          <w:p>
            <w:r>
              <w:t>Added hyperlink, chart image, page numbering, and appendix.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8"/>
      </w:rPr>
      <w:t xml:space="preserve">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6666"/>
        <w:sz w:val="18"/>
      </w:rPr>
      <w:t>Office Viewer Test Sample — DOCX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 w:eastAsia="Aptos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 w:eastAsia="Aptos"/>
      <w:i/>
      <w:iCs/>
      <w:color w:val="55555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 w:eastAsia="Aptos"/>
      <w:sz w:val="21"/>
    </w:rPr>
  </w:style>
  <w:style w:type="paragraph" w:customStyle="1" w:styleId="CodeBlock">
    <w:name w:val="CodeBlock"/>
    <w:rPr>
      <w:rFonts w:ascii="Courier New" w:hAnsi="Courier New" w:eastAsia="Courier New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openai.com" TargetMode="Externa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