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照明节能样本</w:t>
      </w:r>
    </w:p>
    <w:p>
      <w:r>
        <w:t>AIP-DOCX-119: 改造前能耗 1000 kWh，改造后 620 kWh。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节能率</w:t>
            </w:r>
          </w:p>
        </w:tc>
        <w:tc>
          <w:tcPr>
            <w:tcW w:type="dxa" w:w="4320"/>
          </w:tcPr>
          <w:p>
            <w:r>
              <w:t>38%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