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nts/font1.odttf" ContentType="application/vnd.openxmlformats-officedocument.obfuscatedFont"/>
  <Override PartName="/word/fonts/font7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9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8.odttf" ContentType="application/vnd.openxmlformats-officedocument.obfuscatedFont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240" w:before="0" w:after="120"/>
        <w:rPr>
          <w:rFonts w:ascii="Times New Roman" w:hAnsi="Times New Roman" w:eastAsia="Times New Roman" w:cs="Times New Roman"/>
          <w:b/>
          <w:b/>
          <w:bCs/>
          <w:sz w:val="28"/>
          <w:szCs w:val="28"/>
          <w:u w:val="single"/>
        </w:rPr>
      </w:pPr>
      <w:bookmarkStart w:id="0" w:name="_w6za24gkbbc5"/>
      <w:bookmarkEnd w:id="0"/>
      <w:r>
        <w:rPr>
          <w:rFonts w:eastAsia="Times New Roman" w:cs="Times New Roman" w:ascii="Times New Roman" w:hAnsi="Times New Roman"/>
          <w:b/>
          <w:bCs/>
          <w:sz w:val="28"/>
          <w:szCs w:val="28"/>
          <w:u w:val="single"/>
        </w:rPr>
        <w:t>Comparative Cis-Regulatory Architecture &amp; Spatial Grammar Pipeline</w:t>
      </w:r>
    </w:p>
    <w:p>
      <w:pPr>
        <w:pStyle w:val="LOnormal"/>
        <w:spacing w:lineRule="auto" w:line="240"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This repository contains the complete computational pipeline for the genome-agnostic comparative analysis of bZIP (ACGT) and Dof (AAAG) cis-regulatory architectures across climate-resilient crops. The pipeline sequentially executes sequence extraction, topographical motif mapping, statistical enrichment modeling, thermodynamic profiling, and functional visualization.</w:t>
      </w:r>
    </w:p>
    <w:p>
      <w:pPr>
        <w:pStyle w:val="Heading2"/>
        <w:keepNext w:val="false"/>
        <w:keepLines w:val="false"/>
        <w:spacing w:lineRule="auto" w:line="240" w:before="0" w:after="80"/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bookmarkStart w:id="1" w:name="_1e7g22itu2v3"/>
      <w:bookmarkEnd w:id="1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🛠️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Prerequisites &amp; Setup</w:t>
      </w:r>
    </w:p>
    <w:p>
      <w:pPr>
        <w:pStyle w:val="LOnormal"/>
        <w:spacing w:lineRule="auto" w:line="240"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The pipeline requires a Unix/Linux environment configured with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Python 3.10+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and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BEDTools v2.30.0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LOnormal"/>
        <w:spacing w:lineRule="auto" w:line="240"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Ensure the following core Python libraries are installed:</w:t>
      </w:r>
    </w:p>
    <w:p>
      <w:pPr>
        <w:pStyle w:val="LO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Bash</w:t>
      </w:r>
    </w:p>
    <w:p>
      <w:pPr>
        <w:pStyle w:val="LO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pip install pandas scipy numpy matplotlib seaborn</w:t>
      </w:r>
    </w:p>
    <w:p>
      <w:pPr>
        <w:pStyle w:val="LO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LO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pip install -r requirements.txt   (for installing all the pakcages)</w:t>
      </w:r>
    </w:p>
    <w:p>
      <w:pPr>
        <w:pStyle w:val="LOnormal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2"/>
        <w:keepNext w:val="false"/>
        <w:keepLines w:val="false"/>
        <w:spacing w:lineRule="auto" w:line="240" w:before="0" w:after="80"/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bookmarkStart w:id="2" w:name="_x0yxao8fdepw"/>
      <w:bookmarkEnd w:id="2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🚀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Step-by-Step Execution Guide</w:t>
      </w:r>
    </w:p>
    <w:p>
      <w:pPr>
        <w:pStyle w:val="LOnormal"/>
        <w:spacing w:lineRule="auto" w:line="240"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To replicate the methodology outlined in the manuscript, execute the Python scripts in the following modular phases.</w:t>
      </w:r>
    </w:p>
    <w:p>
      <w:pPr>
        <w:pStyle w:val="Heading3"/>
        <w:keepNext w:val="false"/>
        <w:keepLines w:val="false"/>
        <w:spacing w:lineRule="auto" w:line="240" w:before="0" w:after="80"/>
        <w:rPr>
          <w:rFonts w:ascii="Times New Roman" w:hAnsi="Times New Roman" w:eastAsia="Times New Roman" w:cs="Times New Roman"/>
          <w:b/>
          <w:b/>
          <w:bCs/>
          <w:color w:val="000000"/>
        </w:rPr>
      </w:pPr>
      <w:bookmarkStart w:id="3" w:name="_3fq9627ke9uo"/>
      <w:bookmarkEnd w:id="3"/>
      <w:r>
        <w:rPr>
          <w:rFonts w:eastAsia="Times New Roman" w:cs="Times New Roman" w:ascii="Times New Roman" w:hAnsi="Times New Roman"/>
          <w:b/>
          <w:bCs/>
          <w:color w:val="000000"/>
        </w:rPr>
        <w:t>Phase 1: Sequence Extraction &amp; Stress Gene Curation (Methodology Section 2.1)</w:t>
      </w:r>
    </w:p>
    <w:p>
      <w:pPr>
        <w:pStyle w:val="LOnormal"/>
        <w:spacing w:lineRule="auto" w:line="240"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This phase isolates the 1,000 bp proximal promoter regions and identifies abiotic stress-responsive gene cohorts using Gene Ontology (GO) terms.</w:t>
      </w:r>
    </w:p>
    <w:p>
      <w:pPr>
        <w:pStyle w:val="LOnormal"/>
        <w:numPr>
          <w:ilvl w:val="0"/>
          <w:numId w:val="3"/>
        </w:numPr>
        <w:spacing w:lineRule="auto" w:line="240" w:before="0" w:afterAutospacing="0" w:after="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extract_gene_ids.py</w:t>
      </w:r>
      <w:r>
        <w:rPr>
          <w:rFonts w:eastAsia="Times New Roman" w:cs="Times New Roman" w:ascii="Times New Roman" w:hAnsi="Times New Roman"/>
          <w:sz w:val="28"/>
          <w:szCs w:val="28"/>
        </w:rPr>
        <w:t>: Extracts baseline numerical GeneIDs from global annotation files.</w:t>
      </w:r>
    </w:p>
    <w:p>
      <w:pPr>
        <w:pStyle w:val="LOnormal"/>
        <w:numPr>
          <w:ilvl w:val="0"/>
          <w:numId w:val="3"/>
        </w:numPr>
        <w:spacing w:lineRule="auto" w:line="240" w:before="0" w:afterAutospacing="0" w:after="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extract_stress_genes.py</w:t>
      </w:r>
      <w:r>
        <w:rPr>
          <w:rFonts w:eastAsia="Times New Roman" w:cs="Times New Roman" w:ascii="Times New Roman" w:hAnsi="Times New Roman"/>
          <w:sz w:val="28"/>
          <w:szCs w:val="28"/>
        </w:rPr>
        <w:t>: Curates specific stress-responsive locus tags using GO terms (e.g., response to water deprivation, GO:0009414).</w:t>
      </w:r>
    </w:p>
    <w:p>
      <w:pPr>
        <w:pStyle w:val="LOnormal"/>
        <w:numPr>
          <w:ilvl w:val="0"/>
          <w:numId w:val="3"/>
        </w:numPr>
        <w:spacing w:lineRule="auto" w:line="240" w:before="0" w:after="24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intersect_genes.py</w:t>
      </w:r>
      <w:r>
        <w:rPr>
          <w:rFonts w:eastAsia="Times New Roman" w:cs="Times New Roman" w:ascii="Times New Roman" w:hAnsi="Times New Roman"/>
          <w:sz w:val="28"/>
          <w:szCs w:val="28"/>
        </w:rPr>
        <w:t>: Cross-validates and intersects the identified stress-responsive cohorts against the extracted promoter coordinates.</w:t>
      </w:r>
    </w:p>
    <w:p>
      <w:pPr>
        <w:pStyle w:val="Heading3"/>
        <w:keepNext w:val="false"/>
        <w:keepLines w:val="false"/>
        <w:spacing w:lineRule="auto" w:line="240" w:before="0" w:after="80"/>
        <w:rPr>
          <w:rFonts w:ascii="Times New Roman" w:hAnsi="Times New Roman" w:eastAsia="Times New Roman" w:cs="Times New Roman"/>
          <w:b/>
          <w:b/>
          <w:bCs/>
          <w:color w:val="000000"/>
        </w:rPr>
      </w:pPr>
      <w:bookmarkStart w:id="4" w:name="_4qthqg3jmnxy"/>
      <w:bookmarkEnd w:id="4"/>
      <w:r>
        <w:rPr>
          <w:rFonts w:eastAsia="Times New Roman" w:cs="Times New Roman" w:ascii="Times New Roman" w:hAnsi="Times New Roman"/>
          <w:b/>
          <w:bCs/>
          <w:color w:val="000000"/>
        </w:rPr>
        <w:t>Phase 2: Macro-Distribution &amp; Spatial Grammar Profiling (Methodology Section 2.2)</w:t>
      </w:r>
    </w:p>
    <w:p>
      <w:pPr>
        <w:pStyle w:val="LOnormal"/>
        <w:spacing w:lineRule="auto" w:line="240"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This phase linearly maps the physical spacer distances (0–30 bp) between bZIP and Dof motifs to uncover multi-turn spatial locks.</w:t>
      </w:r>
    </w:p>
    <w:p>
      <w:pPr>
        <w:pStyle w:val="LOnormal"/>
        <w:numPr>
          <w:ilvl w:val="0"/>
          <w:numId w:val="4"/>
        </w:numPr>
        <w:spacing w:lineRule="auto" w:line="240" w:before="0" w:afterAutospacing="0" w:after="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analyze_motifs.py</w:t>
      </w:r>
      <w:r>
        <w:rPr>
          <w:rFonts w:eastAsia="Times New Roman" w:cs="Times New Roman" w:ascii="Times New Roman" w:hAnsi="Times New Roman"/>
          <w:sz w:val="28"/>
          <w:szCs w:val="28"/>
        </w:rPr>
        <w:t>: Conducts baseline regular expression mapping of ACGT and AAAG occurrences along the forward strand.</w:t>
      </w:r>
    </w:p>
    <w:p>
      <w:pPr>
        <w:pStyle w:val="LOnormal"/>
        <w:numPr>
          <w:ilvl w:val="0"/>
          <w:numId w:val="4"/>
        </w:numPr>
        <w:spacing w:lineRule="auto" w:line="240" w:before="0" w:afterAutospacing="0" w:after="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macro_all_promoters.py</w:t>
      </w:r>
      <w:r>
        <w:rPr>
          <w:rFonts w:eastAsia="Times New Roman" w:cs="Times New Roman" w:ascii="Times New Roman" w:hAnsi="Times New Roman"/>
          <w:sz w:val="28"/>
          <w:szCs w:val="28"/>
        </w:rPr>
        <w:t>: Computes the unconstrained, genome-wide baseline frequencies of homotypic (ACGT-ACGT, AAAG-AAAG) and heterotypic pairs.</w:t>
      </w:r>
    </w:p>
    <w:p>
      <w:pPr>
        <w:pStyle w:val="LOnormal"/>
        <w:numPr>
          <w:ilvl w:val="0"/>
          <w:numId w:val="4"/>
        </w:numPr>
        <w:spacing w:lineRule="auto" w:line="240" w:before="0" w:after="24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rigorous Spatial Grammar Profiler.py</w:t>
      </w:r>
      <w:r>
        <w:rPr>
          <w:rFonts w:eastAsia="Times New Roman" w:cs="Times New Roman" w:ascii="Times New Roman" w:hAnsi="Times New Roman"/>
          <w:sz w:val="28"/>
          <w:szCs w:val="28"/>
        </w:rPr>
        <w:t>: Implements the strict 30-bp boundary distance calculations for all pairwise motif orientations.</w:t>
      </w:r>
    </w:p>
    <w:p>
      <w:pPr>
        <w:pStyle w:val="LOnormal"/>
        <w:numPr>
          <w:ilvl w:val="0"/>
          <w:numId w:val="4"/>
        </w:numPr>
        <w:spacing w:lineRule="auto" w:line="240" w:before="0" w:after="240"/>
        <w:ind w:left="720" w:hanging="360"/>
        <w:rPr>
          <w:color w:val="BF0041"/>
        </w:rPr>
      </w:pPr>
      <w:r>
        <w:rPr>
          <w:rFonts w:eastAsia="Times New Roman" w:cs="Times New Roman" w:ascii="Times New Roman" w:hAnsi="Times New Roman"/>
          <w:color w:val="BF0041"/>
          <w:sz w:val="28"/>
          <w:szCs w:val="28"/>
        </w:rPr>
        <w:t>&gt; **Note:** The core spatial coordinate mapping file (`rigorous_spatial_grammar.csv`) exceeds GitHub's 100 MB file size limit. Therefore, it has not been uploaded to this repository. You can find this complete dataset provided within the **Supplementary Files** of our manuscript.</w:t>
      </w:r>
    </w:p>
    <w:p>
      <w:pPr>
        <w:pStyle w:val="Heading3"/>
        <w:keepNext w:val="false"/>
        <w:keepLines w:val="false"/>
        <w:spacing w:lineRule="auto" w:line="240" w:before="0" w:after="80"/>
        <w:rPr>
          <w:rFonts w:ascii="Times New Roman" w:hAnsi="Times New Roman" w:eastAsia="Times New Roman" w:cs="Times New Roman"/>
          <w:b/>
          <w:b/>
          <w:bCs/>
          <w:color w:val="000000"/>
        </w:rPr>
      </w:pPr>
      <w:bookmarkStart w:id="5" w:name="_r9m6k8giezxx"/>
      <w:bookmarkEnd w:id="5"/>
      <w:r>
        <w:rPr>
          <w:rFonts w:eastAsia="Times New Roman" w:cs="Times New Roman" w:ascii="Times New Roman" w:hAnsi="Times New Roman"/>
          <w:b/>
          <w:bCs/>
          <w:color w:val="111111"/>
        </w:rPr>
        <w:t>Phase 3: Statistical</w:t>
      </w:r>
      <w:r>
        <w:rPr>
          <w:rFonts w:eastAsia="Times New Roman" w:cs="Times New Roman" w:ascii="Times New Roman" w:hAnsi="Times New Roman"/>
          <w:b/>
          <w:bCs/>
          <w:color w:val="BF0041"/>
        </w:rPr>
        <w:t xml:space="preserve"> </w:t>
      </w:r>
      <w:r>
        <w:rPr>
          <w:rFonts w:eastAsia="Times New Roman" w:cs="Times New Roman" w:ascii="Times New Roman" w:hAnsi="Times New Roman"/>
          <w:b/>
          <w:bCs/>
          <w:color w:val="000000"/>
        </w:rPr>
        <w:t>Enrichment Modeling (Methodology Section 2.3)</w:t>
      </w:r>
    </w:p>
    <w:p>
      <w:pPr>
        <w:pStyle w:val="LOnormal"/>
        <w:spacing w:lineRule="auto" w:line="240"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This phase evaluates the biological selection of spatial constraints using 2x2 contingency matrices.</w:t>
      </w:r>
    </w:p>
    <w:p>
      <w:pPr>
        <w:pStyle w:val="LOnormal"/>
        <w:numPr>
          <w:ilvl w:val="0"/>
          <w:numId w:val="2"/>
        </w:numPr>
        <w:spacing w:lineRule="auto" w:line="240" w:before="0" w:afterAutospacing="0" w:after="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enrichment.py</w:t>
      </w:r>
      <w:r>
        <w:rPr>
          <w:rFonts w:eastAsia="Times New Roman" w:cs="Times New Roman" w:ascii="Times New Roman" w:hAnsi="Times New Roman"/>
          <w:sz w:val="28"/>
          <w:szCs w:val="28"/>
        </w:rPr>
        <w:t>: Performs two-sided Fisher's Exact tests and calculates Odds Ratios on pooled datasets across all species to identify universally conserved structural locks (e.g., the 24-bp Dof-Dof lock).</w:t>
      </w:r>
    </w:p>
    <w:p>
      <w:pPr>
        <w:pStyle w:val="LOnormal"/>
        <w:numPr>
          <w:ilvl w:val="0"/>
          <w:numId w:val="2"/>
        </w:numPr>
        <w:spacing w:lineRule="auto" w:line="240" w:before="0" w:after="24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enrichment_per_species.py</w:t>
      </w:r>
      <w:r>
        <w:rPr>
          <w:rFonts w:eastAsia="Times New Roman" w:cs="Times New Roman" w:ascii="Times New Roman" w:hAnsi="Times New Roman"/>
          <w:sz w:val="28"/>
          <w:szCs w:val="28"/>
        </w:rPr>
        <w:t>: Executes the contingency models on a lineage-by-lineage basis to identify species-specific topographical syntax.</w:t>
      </w:r>
    </w:p>
    <w:p>
      <w:pPr>
        <w:pStyle w:val="Heading3"/>
        <w:keepNext w:val="false"/>
        <w:keepLines w:val="false"/>
        <w:spacing w:lineRule="auto" w:line="240" w:before="0" w:after="80"/>
        <w:rPr>
          <w:rFonts w:ascii="Times New Roman" w:hAnsi="Times New Roman" w:eastAsia="Times New Roman" w:cs="Times New Roman"/>
          <w:b/>
          <w:b/>
          <w:bCs/>
          <w:color w:val="000000"/>
        </w:rPr>
      </w:pPr>
      <w:bookmarkStart w:id="6" w:name="_uifz31dqxzjd"/>
      <w:bookmarkEnd w:id="6"/>
      <w:r>
        <w:rPr>
          <w:rFonts w:eastAsia="Times New Roman" w:cs="Times New Roman" w:ascii="Times New Roman" w:hAnsi="Times New Roman"/>
          <w:b/>
          <w:bCs/>
          <w:color w:val="000000"/>
        </w:rPr>
        <w:t>Phase 4: Topography &amp; Directional Docking (Methodology Section 2.4)</w:t>
      </w:r>
    </w:p>
    <w:p>
      <w:pPr>
        <w:pStyle w:val="LOnormal"/>
        <w:spacing w:lineRule="auto" w:line="240"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This phase assesses the 3D chromatin-binding orientations and the exact promoter positioning relative to the Transcription Start Site (TSS).</w:t>
      </w:r>
    </w:p>
    <w:p>
      <w:pPr>
        <w:pStyle w:val="LOnormal"/>
        <w:numPr>
          <w:ilvl w:val="0"/>
          <w:numId w:val="6"/>
        </w:numPr>
        <w:spacing w:lineRule="auto" w:line="240" w:before="0" w:afterAutospacing="0" w:after="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strand_orientation.py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&amp; </w:t>
      </w: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orientation_stats.py</w:t>
      </w:r>
      <w:r>
        <w:rPr>
          <w:rFonts w:eastAsia="Times New Roman" w:cs="Times New Roman" w:ascii="Times New Roman" w:hAnsi="Times New Roman"/>
          <w:sz w:val="28"/>
          <w:szCs w:val="28"/>
        </w:rPr>
        <w:t>: Evaluates binding polarities (Head-to-Tail, Head-to-Head, etc.) using Chi-Square tests to define dimerization constraints.</w:t>
      </w:r>
    </w:p>
    <w:p>
      <w:pPr>
        <w:pStyle w:val="LOnormal"/>
        <w:numPr>
          <w:ilvl w:val="0"/>
          <w:numId w:val="6"/>
        </w:numPr>
        <w:spacing w:lineRule="auto" w:line="240" w:before="0" w:after="24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tss_anchoring.py</w:t>
      </w:r>
      <w:r>
        <w:rPr>
          <w:rFonts w:eastAsia="Times New Roman" w:cs="Times New Roman" w:ascii="Times New Roman" w:hAnsi="Times New Roman"/>
          <w:sz w:val="28"/>
          <w:szCs w:val="28"/>
        </w:rPr>
        <w:t>: Calculates absolute proximal anchoring coordinates (L-start) to determine the median bounds of the complexes.</w:t>
      </w:r>
    </w:p>
    <w:p>
      <w:pPr>
        <w:pStyle w:val="Heading3"/>
        <w:keepNext w:val="false"/>
        <w:keepLines w:val="false"/>
        <w:spacing w:lineRule="auto" w:line="240" w:before="0" w:after="80"/>
        <w:rPr>
          <w:rFonts w:ascii="Times New Roman" w:hAnsi="Times New Roman" w:eastAsia="Times New Roman" w:cs="Times New Roman"/>
          <w:b/>
          <w:b/>
          <w:bCs/>
          <w:color w:val="000000"/>
        </w:rPr>
      </w:pPr>
      <w:bookmarkStart w:id="7" w:name="_eoc4bsftetga"/>
      <w:bookmarkEnd w:id="7"/>
      <w:r>
        <w:rPr>
          <w:rFonts w:eastAsia="Times New Roman" w:cs="Times New Roman" w:ascii="Times New Roman" w:hAnsi="Times New Roman"/>
          <w:b/>
          <w:bCs/>
          <w:color w:val="000000"/>
        </w:rPr>
        <w:t>Phase 5: Thermodynamic Profiling &amp; Compositional Baselines (Methodology Section 2.5)</w:t>
      </w:r>
    </w:p>
    <w:p>
      <w:pPr>
        <w:pStyle w:val="LOnormal"/>
        <w:spacing w:lineRule="auto" w:line="240"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This phase verifies that spatial spacing is an active topological constraint rather than a byproduct of localized GC bias.</w:t>
      </w:r>
    </w:p>
    <w:p>
      <w:pPr>
        <w:pStyle w:val="LOnormal"/>
        <w:numPr>
          <w:ilvl w:val="0"/>
          <w:numId w:val="1"/>
        </w:numPr>
        <w:spacing w:lineRule="auto" w:line="240" w:before="0" w:afterAutospacing="0" w:after="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species_gc_stats.py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&amp; </w:t>
      </w: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advanced_gc_stats.py</w:t>
      </w:r>
      <w:r>
        <w:rPr>
          <w:rFonts w:eastAsia="Times New Roman" w:cs="Times New Roman" w:ascii="Times New Roman" w:hAnsi="Times New Roman"/>
          <w:sz w:val="28"/>
          <w:szCs w:val="28"/>
        </w:rPr>
        <w:t>: Computes global GC percentages for both background and stress promoters, deploying Mann-Whitney U tests for significance.</w:t>
      </w:r>
    </w:p>
    <w:p>
      <w:pPr>
        <w:pStyle w:val="LOnormal"/>
        <w:numPr>
          <w:ilvl w:val="0"/>
          <w:numId w:val="1"/>
        </w:numPr>
        <w:spacing w:lineRule="auto" w:line="240" w:before="0" w:afterAutospacing="0" w:after="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spacer_thermodynamics.py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&amp; </w:t>
      </w: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thermodynamic.py</w:t>
      </w:r>
      <w:r>
        <w:rPr>
          <w:rFonts w:eastAsia="Times New Roman" w:cs="Times New Roman" w:ascii="Times New Roman" w:hAnsi="Times New Roman"/>
          <w:sz w:val="28"/>
          <w:szCs w:val="28"/>
        </w:rPr>
        <w:t>: Quantifies localized GC content explicitly within the 1–30 bp spatial gaps using sliding lookahead assertions.</w:t>
      </w:r>
    </w:p>
    <w:p>
      <w:pPr>
        <w:pStyle w:val="LOnormal"/>
        <w:numPr>
          <w:ilvl w:val="0"/>
          <w:numId w:val="1"/>
        </w:numPr>
        <w:spacing w:lineRule="auto" w:line="240" w:before="0" w:after="24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consensus_analysis.py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&amp; </w:t>
      </w:r>
      <w:r>
        <w:rPr>
          <w:rFonts w:eastAsia="Times New Roman" w:cs="Times New Roman" w:ascii="Times New Roman" w:hAnsi="Times New Roman"/>
          <w:b/>
          <w:bCs/>
          <w:color w:val="188038"/>
          <w:sz w:val="28"/>
          <w:szCs w:val="28"/>
        </w:rPr>
        <w:t>sequence_environment.py</w:t>
      </w:r>
      <w:r>
        <w:rPr>
          <w:rFonts w:eastAsia="Times New Roman" w:cs="Times New Roman" w:ascii="Times New Roman" w:hAnsi="Times New Roman"/>
          <w:sz w:val="28"/>
          <w:szCs w:val="28"/>
        </w:rPr>
        <w:t>: Constructs Position Probability Matrices (PPM) at stratified stringency thresholds (50%, 70%, 90%) to calculate nucleotide entropy.</w:t>
      </w:r>
    </w:p>
    <w:p>
      <w:pPr>
        <w:pStyle w:val="Heading2"/>
        <w:keepNext w:val="false"/>
        <w:keepLines w:val="false"/>
        <w:spacing w:lineRule="auto" w:line="240" w:before="0" w:after="80"/>
        <w:rPr>
          <w:rFonts w:ascii="Times New Roman" w:hAnsi="Times New Roman" w:eastAsia="Times New Roman" w:cs="Times New Roman"/>
          <w:b/>
          <w:b/>
          <w:bCs/>
          <w:sz w:val="28"/>
          <w:szCs w:val="28"/>
        </w:rPr>
      </w:pPr>
      <w:bookmarkStart w:id="8" w:name="_b9ny9iqx74ck"/>
      <w:bookmarkEnd w:id="8"/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 xml:space="preserve">📊 </w:t>
      </w: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Phase 6: Visualization Generation</w:t>
      </w:r>
    </w:p>
    <w:p>
      <w:pPr>
        <w:pStyle w:val="LOnormal"/>
        <w:spacing w:lineRule="auto" w:line="240" w:before="0" w:after="24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The final suite of scripts uses </w:t>
      </w: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matplotlib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and </w:t>
      </w: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seaborn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to render high-resolution, publication-ready figures that represent the statistical outputs.</w:t>
      </w:r>
    </w:p>
    <w:p>
      <w:pPr>
        <w:pStyle w:val="LOnormal"/>
        <w:numPr>
          <w:ilvl w:val="0"/>
          <w:numId w:val="5"/>
        </w:numPr>
        <w:spacing w:lineRule="auto" w:line="240" w:before="0" w:afterAutospacing="0" w:after="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Macro Baselines: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Run </w:t>
      </w: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plot_macro_results.py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to generate the global distribution bar charts.</w:t>
      </w:r>
    </w:p>
    <w:p>
      <w:pPr>
        <w:pStyle w:val="LOnormal"/>
        <w:numPr>
          <w:ilvl w:val="0"/>
          <w:numId w:val="5"/>
        </w:numPr>
        <w:spacing w:lineRule="auto" w:line="240" w:before="0" w:afterAutospacing="0" w:after="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Spatial Periodicity: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Run </w:t>
      </w: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Spatial Grammar Visualization.py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and </w:t>
      </w: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plot_spacers.py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to generate the B-form DNA helical turn spacing histograms (Figure 1C).</w:t>
      </w:r>
    </w:p>
    <w:p>
      <w:pPr>
        <w:pStyle w:val="LOnormal"/>
        <w:numPr>
          <w:ilvl w:val="0"/>
          <w:numId w:val="5"/>
        </w:numPr>
        <w:spacing w:lineRule="auto" w:line="240" w:before="0" w:afterAutospacing="0" w:after="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Enrichment Heatmaps: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Run </w:t>
      </w: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plot_enrichment_heatmap.py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to map the cross-lineage occurrences (Figure 1A).</w:t>
      </w:r>
    </w:p>
    <w:p>
      <w:pPr>
        <w:pStyle w:val="LOnormal"/>
        <w:numPr>
          <w:ilvl w:val="0"/>
          <w:numId w:val="5"/>
        </w:numPr>
        <w:spacing w:lineRule="auto" w:line="240" w:before="0" w:afterAutospacing="0" w:after="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Topological Orientations: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Run </w:t>
      </w: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plot_orientation.py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and </w:t>
      </w: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plot_tss_anchoring.py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to construct docking bar charts (Figure 3) and Kernel Density Estimation (KDE) density profiles (Figure 5).</w:t>
      </w:r>
    </w:p>
    <w:p>
      <w:pPr>
        <w:pStyle w:val="LOnormal"/>
        <w:numPr>
          <w:ilvl w:val="0"/>
          <w:numId w:val="5"/>
        </w:numPr>
        <w:spacing w:lineRule="auto" w:line="240" w:before="0" w:afterAutospacing="0" w:after="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Compositional Baselines: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Run </w:t>
      </w: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plot_gc_distribution.py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and </w:t>
      </w: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plot_gc_content.py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to plot the comparative boxplots of thermodynamic variation (Figure 2).</w:t>
      </w:r>
    </w:p>
    <w:p>
      <w:pPr>
        <w:pStyle w:val="LOnormal"/>
        <w:numPr>
          <w:ilvl w:val="0"/>
          <w:numId w:val="5"/>
        </w:numPr>
        <w:spacing w:lineRule="auto" w:line="240" w:before="0" w:afterAutospacing="0" w:after="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Nucleotide Entropy: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Run </w:t>
      </w: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consensus_plot_motif_heatmap.py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to render the PPM probability heatmaps characterizing the spacer sequences (Figure 4).</w:t>
      </w:r>
    </w:p>
    <w:p>
      <w:pPr>
        <w:pStyle w:val="LOnormal"/>
        <w:numPr>
          <w:ilvl w:val="0"/>
          <w:numId w:val="5"/>
        </w:numPr>
        <w:spacing w:lineRule="auto" w:line="240" w:before="0" w:after="240"/>
        <w:ind w:left="720" w:hanging="360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Functional Annotation: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Run </w:t>
      </w:r>
      <w:r>
        <w:rPr>
          <w:rFonts w:eastAsia="Times New Roman" w:cs="Times New Roman" w:ascii="Times New Roman" w:hAnsi="Times New Roman"/>
          <w:color w:val="188038"/>
          <w:sz w:val="28"/>
          <w:szCs w:val="28"/>
        </w:rPr>
        <w:t>generate_GObubble_plot.py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to build the unified bubble plots mapping spatial architecture against enriched GO Biological Process pathways (Figure 6).</w:t>
      </w:r>
    </w:p>
    <w:p>
      <w:pPr>
        <w:pStyle w:val="LOnormal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/>
    <w:family w:val="roman"/>
    <w:pitch w:val="variable"/>
  </w:font>
  <w:font w:name="Arial">
    <w:charset w:val="01"/>
    <w:family w:val="swiss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  <w:embedRegular r:id="rId9" w:fontKey="{09014A78-CABC-4EF0-12AC-5CD89AEFDE09}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  <w:rFonts w:ascii="Arial" w:hAnsi="Arial" w:eastAsia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  <w:rFonts w:ascii="Arial" w:hAnsi="Arial" w:eastAsia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  <w:rFonts w:ascii="Arial" w:hAnsi="Arial" w:eastAsia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  <w:rFonts w:ascii="Arial" w:hAnsi="Arial" w:eastAsia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Arial" w:hAnsi="Arial" w:cs="Arial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  <w:rFonts w:ascii="Arial" w:hAnsi="Arial" w:eastAsia="Arial" w:cs="Arial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embedTrueTypeFonts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  <Pages>3</Pages>
  <Words>661</Words>
  <Characters>4662</Characters>
  <CharactersWithSpaces>5259</CharactersWithSpaces>
  <Paragraphs>43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dcterms:modified xsi:type="dcterms:W3CDTF">2026-10-07T14:47:45Z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