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65DF7" w14:textId="18F94959" w:rsidR="004A4674" w:rsidRDefault="004A4674" w:rsidP="004A4674">
      <w:pPr>
        <w:pStyle w:val="Heading1"/>
      </w:pPr>
      <w:r w:rsidRPr="004A4674">
        <w:t>Business Case – Perfect Purifiers LLC: Next-Gen HEPA Air Purifier Line</w:t>
      </w:r>
    </w:p>
    <w:p w14:paraId="7DC831E4" w14:textId="77777777" w:rsidR="004A4674" w:rsidRPr="004A4674" w:rsidRDefault="004A4674" w:rsidP="004A4674"/>
    <w:p w14:paraId="346F9FAD" w14:textId="77777777" w:rsidR="004A4674" w:rsidRPr="004A4674" w:rsidRDefault="004A4674" w:rsidP="004A4674">
      <w:pPr>
        <w:rPr>
          <w:b/>
          <w:bCs/>
        </w:rPr>
      </w:pPr>
      <w:r w:rsidRPr="004A4674">
        <w:rPr>
          <w:b/>
          <w:bCs/>
        </w:rPr>
        <w:t>1. Executive Summary</w:t>
      </w:r>
    </w:p>
    <w:p w14:paraId="6F181190" w14:textId="7087B67F" w:rsidR="004A4674" w:rsidRPr="004A4674" w:rsidRDefault="004A4674" w:rsidP="004A4674">
      <w:r w:rsidRPr="004A4674">
        <w:t>Perfect Purifiers LLC plans to launch a redesigned line of HEPA air purifiers that addresses key customer pain points in the current market. The new product line—comprising Basic, Better, and Ultimate models—aims to enhance air purification performance while reducing ozone emissions, noise, and maintenance burden. The business case supports investment in this initiative based on strong market demand, projected returns, and alignment with company strategy.</w:t>
      </w:r>
    </w:p>
    <w:p w14:paraId="0966B9CD" w14:textId="77777777" w:rsidR="004A4674" w:rsidRPr="004A4674" w:rsidRDefault="004A4674" w:rsidP="004A4674">
      <w:pPr>
        <w:rPr>
          <w:b/>
          <w:bCs/>
        </w:rPr>
      </w:pPr>
      <w:r w:rsidRPr="004A4674">
        <w:rPr>
          <w:b/>
          <w:bCs/>
        </w:rPr>
        <w:t>2. Problem Statement</w:t>
      </w:r>
    </w:p>
    <w:p w14:paraId="2B8856C7" w14:textId="096BF0E0" w:rsidR="004A4674" w:rsidRPr="004A4674" w:rsidRDefault="004A4674" w:rsidP="004A4674">
      <w:r w:rsidRPr="004A4674">
        <w:t>Existing HEPA air purifiers fail to eliminate VOCs, odors, and viruses, produce ozone, require frequent costly maintenance, and offer limited room coverage. These issues present both a risk and an opportunity. PP LLC has the expertise and capability to develop a product line that addresses these gaps and differentiates itself in a growing market.</w:t>
      </w:r>
    </w:p>
    <w:p w14:paraId="2875DE4C" w14:textId="77777777" w:rsidR="004A4674" w:rsidRPr="004A4674" w:rsidRDefault="004A4674" w:rsidP="004A4674">
      <w:pPr>
        <w:rPr>
          <w:b/>
          <w:bCs/>
        </w:rPr>
      </w:pPr>
      <w:r w:rsidRPr="004A4674">
        <w:rPr>
          <w:b/>
          <w:bCs/>
        </w:rPr>
        <w:t>3. Strategic Alignment</w:t>
      </w:r>
    </w:p>
    <w:p w14:paraId="4CDDC075" w14:textId="77777777" w:rsidR="004A4674" w:rsidRPr="004A4674" w:rsidRDefault="004A4674" w:rsidP="004A4674">
      <w:r w:rsidRPr="004A4674">
        <w:t>The new purifier line supports PP LLC’s vision of improving indoor air quality while expanding its market share and strengthening its brand reputation. This initiative directly contributes to:</w:t>
      </w:r>
    </w:p>
    <w:p w14:paraId="722D20D7" w14:textId="77777777" w:rsidR="004A4674" w:rsidRPr="004A4674" w:rsidRDefault="004A4674" w:rsidP="004A4674">
      <w:pPr>
        <w:pStyle w:val="ListParagraph"/>
        <w:numPr>
          <w:ilvl w:val="0"/>
          <w:numId w:val="26"/>
        </w:numPr>
      </w:pPr>
      <w:r w:rsidRPr="004A4674">
        <w:t>25% increase in revenue</w:t>
      </w:r>
    </w:p>
    <w:p w14:paraId="4851DE3A" w14:textId="77777777" w:rsidR="004A4674" w:rsidRPr="004A4674" w:rsidRDefault="004A4674" w:rsidP="004A4674">
      <w:pPr>
        <w:pStyle w:val="ListParagraph"/>
        <w:numPr>
          <w:ilvl w:val="0"/>
          <w:numId w:val="26"/>
        </w:numPr>
      </w:pPr>
      <w:r w:rsidRPr="004A4674">
        <w:t>10% market expansion</w:t>
      </w:r>
    </w:p>
    <w:p w14:paraId="007B2302" w14:textId="7FAD393C" w:rsidR="004A4674" w:rsidRPr="004A4674" w:rsidRDefault="004A4674" w:rsidP="004A4674">
      <w:pPr>
        <w:pStyle w:val="ListParagraph"/>
        <w:numPr>
          <w:ilvl w:val="0"/>
          <w:numId w:val="26"/>
        </w:numPr>
      </w:pPr>
      <w:r w:rsidRPr="004A4674">
        <w:t>50% reduction in product returns</w:t>
      </w:r>
    </w:p>
    <w:p w14:paraId="0EFAC0F2" w14:textId="77777777" w:rsidR="004A4674" w:rsidRPr="004A4674" w:rsidRDefault="004A4674" w:rsidP="004A4674">
      <w:pPr>
        <w:rPr>
          <w:b/>
          <w:bCs/>
        </w:rPr>
      </w:pPr>
      <w:r w:rsidRPr="004A4674">
        <w:rPr>
          <w:b/>
          <w:bCs/>
        </w:rPr>
        <w:t>4. Market Opportunity</w:t>
      </w:r>
    </w:p>
    <w:p w14:paraId="44C8C6C0" w14:textId="77777777" w:rsidR="004A4674" w:rsidRPr="004A4674" w:rsidRDefault="004A4674" w:rsidP="004A4674">
      <w:r w:rsidRPr="004A4674">
        <w:t>The air purifier market is projected to grow from $7B (2023) to $13.4B by 2030 (CAGR: 11.4%)</w:t>
      </w:r>
    </w:p>
    <w:p w14:paraId="657D99FD" w14:textId="77777777" w:rsidR="004A4674" w:rsidRPr="004A4674" w:rsidRDefault="004A4674" w:rsidP="004A4674">
      <w:r w:rsidRPr="004A4674">
        <w:t>Rising consumer concern about air quality presents a timely opportunity</w:t>
      </w:r>
    </w:p>
    <w:p w14:paraId="18211846" w14:textId="5CD24FD2" w:rsidR="004A4674" w:rsidRDefault="004A4674" w:rsidP="004A4674">
      <w:r w:rsidRPr="004A4674">
        <w:t>No competitor currently solves all top pain points in a single product line</w:t>
      </w:r>
    </w:p>
    <w:p w14:paraId="2E354F5B" w14:textId="77777777" w:rsidR="004A4674" w:rsidRDefault="004A4674" w:rsidP="004A4674"/>
    <w:p w14:paraId="0D3CB398" w14:textId="77777777" w:rsidR="004A4674" w:rsidRDefault="004A4674" w:rsidP="004A4674"/>
    <w:p w14:paraId="7495910C" w14:textId="77777777" w:rsidR="004A4674" w:rsidRDefault="004A4674" w:rsidP="004A4674"/>
    <w:p w14:paraId="42276A72" w14:textId="77777777" w:rsidR="004A4674" w:rsidRPr="004A4674" w:rsidRDefault="004A4674" w:rsidP="004A4674"/>
    <w:p w14:paraId="48AD060D" w14:textId="77777777" w:rsidR="004A4674" w:rsidRPr="004A4674" w:rsidRDefault="004A4674" w:rsidP="004A4674">
      <w:pPr>
        <w:rPr>
          <w:b/>
          <w:bCs/>
        </w:rPr>
      </w:pPr>
      <w:r w:rsidRPr="004A4674">
        <w:rPr>
          <w:b/>
          <w:bCs/>
        </w:rPr>
        <w:t>5. Proposed Solution</w:t>
      </w:r>
    </w:p>
    <w:p w14:paraId="30CE0BA6" w14:textId="77777777" w:rsidR="004A4674" w:rsidRPr="004A4674" w:rsidRDefault="004A4674" w:rsidP="004A4674">
      <w:pPr>
        <w:pStyle w:val="ListParagraph"/>
        <w:numPr>
          <w:ilvl w:val="0"/>
          <w:numId w:val="25"/>
        </w:numPr>
      </w:pPr>
      <w:r w:rsidRPr="004A4674">
        <w:t>Develop and launch three new HEPA purifier models:</w:t>
      </w:r>
    </w:p>
    <w:p w14:paraId="6BA19A7F" w14:textId="77777777" w:rsidR="004A4674" w:rsidRPr="004A4674" w:rsidRDefault="004A4674" w:rsidP="004A4674">
      <w:pPr>
        <w:pStyle w:val="ListParagraph"/>
        <w:numPr>
          <w:ilvl w:val="0"/>
          <w:numId w:val="25"/>
        </w:numPr>
      </w:pPr>
      <w:r w:rsidRPr="004A4674">
        <w:t>Basic: Reduced noise and ozone-free</w:t>
      </w:r>
    </w:p>
    <w:p w14:paraId="31B0E702" w14:textId="77777777" w:rsidR="004A4674" w:rsidRPr="004A4674" w:rsidRDefault="004A4674" w:rsidP="004A4674">
      <w:pPr>
        <w:pStyle w:val="ListParagraph"/>
        <w:numPr>
          <w:ilvl w:val="0"/>
          <w:numId w:val="25"/>
        </w:numPr>
      </w:pPr>
      <w:r w:rsidRPr="004A4674">
        <w:t>Better: Adds improved motor for expanded coverage</w:t>
      </w:r>
    </w:p>
    <w:p w14:paraId="6A9B0EB7" w14:textId="77777777" w:rsidR="004A4674" w:rsidRPr="004A4674" w:rsidRDefault="004A4674" w:rsidP="004A4674">
      <w:pPr>
        <w:pStyle w:val="ListParagraph"/>
        <w:numPr>
          <w:ilvl w:val="0"/>
          <w:numId w:val="25"/>
        </w:numPr>
      </w:pPr>
      <w:r w:rsidRPr="004A4674">
        <w:t>Ultimate: Adds filter longevity, odor control, and air freshener module</w:t>
      </w:r>
    </w:p>
    <w:p w14:paraId="1748ACE1" w14:textId="2609A64F" w:rsidR="004A4674" w:rsidRPr="004A4674" w:rsidRDefault="004A4674" w:rsidP="004A4674">
      <w:pPr>
        <w:pStyle w:val="ListParagraph"/>
        <w:numPr>
          <w:ilvl w:val="0"/>
          <w:numId w:val="25"/>
        </w:numPr>
      </w:pPr>
      <w:r w:rsidRPr="004A4674">
        <w:t>Each unit will integrate at least five prioritized features based on customer feedback and engineering feasibility.</w:t>
      </w:r>
    </w:p>
    <w:p w14:paraId="5A1CF3BA" w14:textId="77777777" w:rsidR="004A4674" w:rsidRPr="004A4674" w:rsidRDefault="004A4674" w:rsidP="004A4674">
      <w:pPr>
        <w:rPr>
          <w:b/>
          <w:bCs/>
        </w:rPr>
      </w:pPr>
      <w:r w:rsidRPr="004A4674">
        <w:rPr>
          <w:b/>
          <w:bCs/>
        </w:rPr>
        <w:t>6. Project Scope &amp; Timeline</w:t>
      </w:r>
    </w:p>
    <w:p w14:paraId="23BF050F" w14:textId="77777777" w:rsidR="004A4674" w:rsidRPr="004A4674" w:rsidRDefault="004A4674" w:rsidP="004A4674">
      <w:pPr>
        <w:pStyle w:val="ListParagraph"/>
        <w:numPr>
          <w:ilvl w:val="0"/>
          <w:numId w:val="24"/>
        </w:numPr>
      </w:pPr>
      <w:r w:rsidRPr="004A4674">
        <w:t>Design Phase: Jan–Feb 2026</w:t>
      </w:r>
    </w:p>
    <w:p w14:paraId="7231C5CC" w14:textId="77777777" w:rsidR="004A4674" w:rsidRPr="004A4674" w:rsidRDefault="004A4674" w:rsidP="004A4674">
      <w:pPr>
        <w:pStyle w:val="ListParagraph"/>
        <w:numPr>
          <w:ilvl w:val="0"/>
          <w:numId w:val="24"/>
        </w:numPr>
      </w:pPr>
      <w:r w:rsidRPr="004A4674">
        <w:t>Development Phase: Mar–May 2026</w:t>
      </w:r>
    </w:p>
    <w:p w14:paraId="7A7E0988" w14:textId="77777777" w:rsidR="004A4674" w:rsidRPr="004A4674" w:rsidRDefault="004A4674" w:rsidP="004A4674">
      <w:pPr>
        <w:pStyle w:val="ListParagraph"/>
        <w:numPr>
          <w:ilvl w:val="0"/>
          <w:numId w:val="24"/>
        </w:numPr>
      </w:pPr>
      <w:r w:rsidRPr="004A4674">
        <w:t>Beta Testing: June 2026</w:t>
      </w:r>
    </w:p>
    <w:p w14:paraId="5D04EC3E" w14:textId="6EF9E3C0" w:rsidR="004A4674" w:rsidRPr="004A4674" w:rsidRDefault="004A4674" w:rsidP="004A4674">
      <w:pPr>
        <w:pStyle w:val="ListParagraph"/>
        <w:numPr>
          <w:ilvl w:val="0"/>
          <w:numId w:val="24"/>
        </w:numPr>
      </w:pPr>
      <w:r w:rsidRPr="004A4674">
        <w:t>Launch Goal: End of Q2 (summer season launch)</w:t>
      </w:r>
    </w:p>
    <w:p w14:paraId="20E7F02D" w14:textId="77777777" w:rsidR="004A4674" w:rsidRPr="004A4674" w:rsidRDefault="004A4674" w:rsidP="004A4674">
      <w:pPr>
        <w:rPr>
          <w:b/>
          <w:bCs/>
        </w:rPr>
      </w:pPr>
      <w:r w:rsidRPr="004A4674">
        <w:rPr>
          <w:b/>
          <w:bCs/>
        </w:rPr>
        <w:t>7. Financial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0"/>
        <w:gridCol w:w="1581"/>
      </w:tblGrid>
      <w:tr w:rsidR="004A4674" w:rsidRPr="004A4674" w14:paraId="228A6034" w14:textId="77777777" w:rsidTr="004A4674">
        <w:trPr>
          <w:tblHeader/>
          <w:tblCellSpacing w:w="15" w:type="dxa"/>
        </w:trPr>
        <w:tc>
          <w:tcPr>
            <w:tcW w:w="0" w:type="auto"/>
            <w:vAlign w:val="center"/>
            <w:hideMark/>
          </w:tcPr>
          <w:p w14:paraId="7CF5A62A" w14:textId="77777777" w:rsidR="004A4674" w:rsidRPr="004A4674" w:rsidRDefault="004A4674" w:rsidP="004A4674">
            <w:r w:rsidRPr="004A4674">
              <w:t>Metric</w:t>
            </w:r>
          </w:p>
        </w:tc>
        <w:tc>
          <w:tcPr>
            <w:tcW w:w="0" w:type="auto"/>
            <w:vAlign w:val="center"/>
            <w:hideMark/>
          </w:tcPr>
          <w:p w14:paraId="76F4A5D2" w14:textId="77777777" w:rsidR="004A4674" w:rsidRPr="004A4674" w:rsidRDefault="004A4674" w:rsidP="004A4674">
            <w:r w:rsidRPr="004A4674">
              <w:t>Value</w:t>
            </w:r>
          </w:p>
        </w:tc>
      </w:tr>
      <w:tr w:rsidR="004A4674" w:rsidRPr="004A4674" w14:paraId="55754BCF" w14:textId="77777777" w:rsidTr="004A4674">
        <w:trPr>
          <w:tblCellSpacing w:w="15" w:type="dxa"/>
        </w:trPr>
        <w:tc>
          <w:tcPr>
            <w:tcW w:w="0" w:type="auto"/>
            <w:vAlign w:val="center"/>
            <w:hideMark/>
          </w:tcPr>
          <w:p w14:paraId="3199688F" w14:textId="77777777" w:rsidR="004A4674" w:rsidRPr="004A4674" w:rsidRDefault="004A4674" w:rsidP="004A4674">
            <w:r w:rsidRPr="004A4674">
              <w:t>Initial Prototype Cost</w:t>
            </w:r>
          </w:p>
        </w:tc>
        <w:tc>
          <w:tcPr>
            <w:tcW w:w="0" w:type="auto"/>
            <w:vAlign w:val="center"/>
            <w:hideMark/>
          </w:tcPr>
          <w:p w14:paraId="654CFC3B" w14:textId="77777777" w:rsidR="004A4674" w:rsidRPr="004A4674" w:rsidRDefault="004A4674" w:rsidP="004A4674">
            <w:r w:rsidRPr="004A4674">
              <w:t>$80,000</w:t>
            </w:r>
          </w:p>
        </w:tc>
      </w:tr>
      <w:tr w:rsidR="004A4674" w:rsidRPr="004A4674" w14:paraId="61DCE54D" w14:textId="77777777" w:rsidTr="004A4674">
        <w:trPr>
          <w:tblCellSpacing w:w="15" w:type="dxa"/>
        </w:trPr>
        <w:tc>
          <w:tcPr>
            <w:tcW w:w="0" w:type="auto"/>
            <w:vAlign w:val="center"/>
            <w:hideMark/>
          </w:tcPr>
          <w:p w14:paraId="0FEA1F04" w14:textId="77777777" w:rsidR="004A4674" w:rsidRPr="004A4674" w:rsidRDefault="004A4674" w:rsidP="004A4674">
            <w:r w:rsidRPr="004A4674">
              <w:t>Annual Returns (2 Years)</w:t>
            </w:r>
          </w:p>
        </w:tc>
        <w:tc>
          <w:tcPr>
            <w:tcW w:w="0" w:type="auto"/>
            <w:vAlign w:val="center"/>
            <w:hideMark/>
          </w:tcPr>
          <w:p w14:paraId="23B495A0" w14:textId="77777777" w:rsidR="004A4674" w:rsidRPr="004A4674" w:rsidRDefault="004A4674" w:rsidP="004A4674">
            <w:r w:rsidRPr="004A4674">
              <w:t>$200,000/year</w:t>
            </w:r>
          </w:p>
        </w:tc>
      </w:tr>
      <w:tr w:rsidR="004A4674" w:rsidRPr="004A4674" w14:paraId="2926820C" w14:textId="77777777" w:rsidTr="004A4674">
        <w:trPr>
          <w:tblCellSpacing w:w="15" w:type="dxa"/>
        </w:trPr>
        <w:tc>
          <w:tcPr>
            <w:tcW w:w="0" w:type="auto"/>
            <w:vAlign w:val="center"/>
            <w:hideMark/>
          </w:tcPr>
          <w:p w14:paraId="7255B46E" w14:textId="77777777" w:rsidR="004A4674" w:rsidRPr="004A4674" w:rsidRDefault="004A4674" w:rsidP="004A4674">
            <w:r w:rsidRPr="004A4674">
              <w:t>Total Return</w:t>
            </w:r>
          </w:p>
        </w:tc>
        <w:tc>
          <w:tcPr>
            <w:tcW w:w="0" w:type="auto"/>
            <w:vAlign w:val="center"/>
            <w:hideMark/>
          </w:tcPr>
          <w:p w14:paraId="5CF7CAA8" w14:textId="77777777" w:rsidR="004A4674" w:rsidRPr="004A4674" w:rsidRDefault="004A4674" w:rsidP="004A4674">
            <w:r w:rsidRPr="004A4674">
              <w:t>$400,000</w:t>
            </w:r>
          </w:p>
        </w:tc>
      </w:tr>
      <w:tr w:rsidR="004A4674" w:rsidRPr="004A4674" w14:paraId="5DD1C415" w14:textId="77777777" w:rsidTr="004A4674">
        <w:trPr>
          <w:tblCellSpacing w:w="15" w:type="dxa"/>
        </w:trPr>
        <w:tc>
          <w:tcPr>
            <w:tcW w:w="0" w:type="auto"/>
            <w:vAlign w:val="center"/>
            <w:hideMark/>
          </w:tcPr>
          <w:p w14:paraId="4557D93B" w14:textId="77777777" w:rsidR="004A4674" w:rsidRPr="004A4674" w:rsidRDefault="004A4674" w:rsidP="004A4674">
            <w:r w:rsidRPr="004A4674">
              <w:t>Total Net Return</w:t>
            </w:r>
          </w:p>
        </w:tc>
        <w:tc>
          <w:tcPr>
            <w:tcW w:w="0" w:type="auto"/>
            <w:vAlign w:val="center"/>
            <w:hideMark/>
          </w:tcPr>
          <w:p w14:paraId="5635823A" w14:textId="77777777" w:rsidR="004A4674" w:rsidRPr="004A4674" w:rsidRDefault="004A4674" w:rsidP="004A4674">
            <w:r w:rsidRPr="004A4674">
              <w:t>$320,000</w:t>
            </w:r>
          </w:p>
        </w:tc>
      </w:tr>
      <w:tr w:rsidR="004A4674" w:rsidRPr="004A4674" w14:paraId="20DFA9EC" w14:textId="77777777" w:rsidTr="004A4674">
        <w:trPr>
          <w:tblCellSpacing w:w="15" w:type="dxa"/>
        </w:trPr>
        <w:tc>
          <w:tcPr>
            <w:tcW w:w="0" w:type="auto"/>
            <w:vAlign w:val="center"/>
            <w:hideMark/>
          </w:tcPr>
          <w:p w14:paraId="535C51BD" w14:textId="77777777" w:rsidR="004A4674" w:rsidRPr="004A4674" w:rsidRDefault="004A4674" w:rsidP="004A4674">
            <w:r w:rsidRPr="004A4674">
              <w:t>Payback Period</w:t>
            </w:r>
          </w:p>
        </w:tc>
        <w:tc>
          <w:tcPr>
            <w:tcW w:w="0" w:type="auto"/>
            <w:vAlign w:val="center"/>
            <w:hideMark/>
          </w:tcPr>
          <w:p w14:paraId="17B8A005" w14:textId="77777777" w:rsidR="004A4674" w:rsidRPr="004A4674" w:rsidRDefault="004A4674" w:rsidP="004A4674">
            <w:r w:rsidRPr="004A4674">
              <w:t>2.14 years</w:t>
            </w:r>
          </w:p>
        </w:tc>
      </w:tr>
      <w:tr w:rsidR="004A4674" w:rsidRPr="004A4674" w14:paraId="7475514C" w14:textId="77777777" w:rsidTr="004A4674">
        <w:trPr>
          <w:tblCellSpacing w:w="15" w:type="dxa"/>
        </w:trPr>
        <w:tc>
          <w:tcPr>
            <w:tcW w:w="0" w:type="auto"/>
            <w:vAlign w:val="center"/>
            <w:hideMark/>
          </w:tcPr>
          <w:p w14:paraId="3F868EDD" w14:textId="77777777" w:rsidR="004A4674" w:rsidRPr="004A4674" w:rsidRDefault="004A4674" w:rsidP="004A4674">
            <w:r w:rsidRPr="004A4674">
              <w:t>Return on Investment (ROI)</w:t>
            </w:r>
          </w:p>
        </w:tc>
        <w:tc>
          <w:tcPr>
            <w:tcW w:w="0" w:type="auto"/>
            <w:vAlign w:val="center"/>
            <w:hideMark/>
          </w:tcPr>
          <w:p w14:paraId="28237CBE" w14:textId="77777777" w:rsidR="004A4674" w:rsidRPr="004A4674" w:rsidRDefault="004A4674" w:rsidP="004A4674">
            <w:r w:rsidRPr="004A4674">
              <w:t>400%</w:t>
            </w:r>
          </w:p>
        </w:tc>
      </w:tr>
      <w:tr w:rsidR="004A4674" w:rsidRPr="004A4674" w14:paraId="05C9E917" w14:textId="77777777" w:rsidTr="004A4674">
        <w:trPr>
          <w:tblCellSpacing w:w="15" w:type="dxa"/>
        </w:trPr>
        <w:tc>
          <w:tcPr>
            <w:tcW w:w="0" w:type="auto"/>
            <w:vAlign w:val="center"/>
            <w:hideMark/>
          </w:tcPr>
          <w:p w14:paraId="53BCCD5D" w14:textId="77777777" w:rsidR="004A4674" w:rsidRPr="004A4674" w:rsidRDefault="004A4674" w:rsidP="004A4674">
            <w:r w:rsidRPr="004A4674">
              <w:t>Internal Rate of Return (IRR)</w:t>
            </w:r>
          </w:p>
        </w:tc>
        <w:tc>
          <w:tcPr>
            <w:tcW w:w="0" w:type="auto"/>
            <w:vAlign w:val="center"/>
            <w:hideMark/>
          </w:tcPr>
          <w:p w14:paraId="0D1F5343" w14:textId="77777777" w:rsidR="004A4674" w:rsidRPr="004A4674" w:rsidRDefault="004A4674" w:rsidP="004A4674">
            <w:r w:rsidRPr="004A4674">
              <w:t>200%+</w:t>
            </w:r>
          </w:p>
        </w:tc>
      </w:tr>
      <w:tr w:rsidR="004A4674" w:rsidRPr="004A4674" w14:paraId="4E22D73D" w14:textId="77777777" w:rsidTr="004A4674">
        <w:trPr>
          <w:tblCellSpacing w:w="15" w:type="dxa"/>
        </w:trPr>
        <w:tc>
          <w:tcPr>
            <w:tcW w:w="0" w:type="auto"/>
            <w:vAlign w:val="center"/>
            <w:hideMark/>
          </w:tcPr>
          <w:p w14:paraId="2DFFD03A" w14:textId="77777777" w:rsidR="004A4674" w:rsidRPr="004A4674" w:rsidRDefault="004A4674" w:rsidP="004A4674">
            <w:r w:rsidRPr="004A4674">
              <w:t>NPV (10% Discount Rate)</w:t>
            </w:r>
          </w:p>
        </w:tc>
        <w:tc>
          <w:tcPr>
            <w:tcW w:w="0" w:type="auto"/>
            <w:vAlign w:val="center"/>
            <w:hideMark/>
          </w:tcPr>
          <w:p w14:paraId="49E415BD" w14:textId="77777777" w:rsidR="004A4674" w:rsidRPr="004A4674" w:rsidRDefault="004A4674" w:rsidP="004A4674">
            <w:r w:rsidRPr="004A4674">
              <w:t>Positive</w:t>
            </w:r>
          </w:p>
        </w:tc>
      </w:tr>
    </w:tbl>
    <w:p w14:paraId="501733D2" w14:textId="77777777" w:rsidR="004A4674" w:rsidRDefault="004A4674" w:rsidP="004A4674">
      <w:pPr>
        <w:rPr>
          <w:i/>
          <w:iCs/>
        </w:rPr>
      </w:pPr>
    </w:p>
    <w:p w14:paraId="33212C29" w14:textId="5635269D" w:rsidR="004A4674" w:rsidRDefault="004A4674" w:rsidP="004A4674">
      <w:pPr>
        <w:rPr>
          <w:i/>
          <w:iCs/>
        </w:rPr>
      </w:pPr>
      <w:r w:rsidRPr="004A4674">
        <w:rPr>
          <w:i/>
          <w:iCs/>
        </w:rPr>
        <w:t xml:space="preserve">Note: Initial $30,000 funding covers Conceive &amp; Plan phases; full development requires </w:t>
      </w:r>
      <w:r w:rsidRPr="004A4674">
        <w:rPr>
          <w:i/>
          <w:iCs/>
        </w:rPr>
        <w:t>an additional</w:t>
      </w:r>
      <w:r w:rsidRPr="004A4674">
        <w:rPr>
          <w:i/>
          <w:iCs/>
        </w:rPr>
        <w:t xml:space="preserve"> $50,000.</w:t>
      </w:r>
    </w:p>
    <w:p w14:paraId="76295066" w14:textId="77777777" w:rsidR="004A4674" w:rsidRDefault="004A4674" w:rsidP="004A4674">
      <w:pPr>
        <w:rPr>
          <w:i/>
          <w:iCs/>
        </w:rPr>
      </w:pPr>
    </w:p>
    <w:p w14:paraId="1AD8EB93" w14:textId="77777777" w:rsidR="004A4674" w:rsidRDefault="004A4674" w:rsidP="004A4674">
      <w:pPr>
        <w:rPr>
          <w:i/>
          <w:iCs/>
        </w:rPr>
      </w:pPr>
    </w:p>
    <w:p w14:paraId="2FD56047" w14:textId="77777777" w:rsidR="004A4674" w:rsidRPr="004A4674" w:rsidRDefault="004A4674" w:rsidP="004A4674"/>
    <w:p w14:paraId="1AA7F976" w14:textId="77777777" w:rsidR="004A4674" w:rsidRPr="004A4674" w:rsidRDefault="004A4674" w:rsidP="004A4674">
      <w:pPr>
        <w:rPr>
          <w:b/>
          <w:bCs/>
        </w:rPr>
      </w:pPr>
      <w:r w:rsidRPr="004A4674">
        <w:rPr>
          <w:b/>
          <w:bCs/>
        </w:rPr>
        <w:t>8. Risk Assessment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3580"/>
        <w:gridCol w:w="3525"/>
      </w:tblGrid>
      <w:tr w:rsidR="004A4674" w:rsidRPr="004A4674" w14:paraId="5E2B58E8" w14:textId="77777777" w:rsidTr="004A4674">
        <w:trPr>
          <w:tblHeader/>
          <w:tblCellSpacing w:w="15" w:type="dxa"/>
        </w:trPr>
        <w:tc>
          <w:tcPr>
            <w:tcW w:w="0" w:type="auto"/>
            <w:vAlign w:val="center"/>
            <w:hideMark/>
          </w:tcPr>
          <w:p w14:paraId="3919F22B" w14:textId="77777777" w:rsidR="004A4674" w:rsidRPr="004A4674" w:rsidRDefault="004A4674" w:rsidP="004A4674">
            <w:r w:rsidRPr="004A4674">
              <w:t>Risk Category</w:t>
            </w:r>
          </w:p>
        </w:tc>
        <w:tc>
          <w:tcPr>
            <w:tcW w:w="0" w:type="auto"/>
            <w:vAlign w:val="center"/>
            <w:hideMark/>
          </w:tcPr>
          <w:p w14:paraId="336C2E58" w14:textId="77777777" w:rsidR="004A4674" w:rsidRPr="004A4674" w:rsidRDefault="004A4674" w:rsidP="004A4674">
            <w:r w:rsidRPr="004A4674">
              <w:t>Description</w:t>
            </w:r>
          </w:p>
        </w:tc>
        <w:tc>
          <w:tcPr>
            <w:tcW w:w="0" w:type="auto"/>
            <w:vAlign w:val="center"/>
            <w:hideMark/>
          </w:tcPr>
          <w:p w14:paraId="583AADD3" w14:textId="77777777" w:rsidR="004A4674" w:rsidRPr="004A4674" w:rsidRDefault="004A4674" w:rsidP="004A4674">
            <w:r w:rsidRPr="004A4674">
              <w:t>Mitigation Strategy</w:t>
            </w:r>
          </w:p>
        </w:tc>
      </w:tr>
      <w:tr w:rsidR="004A4674" w:rsidRPr="004A4674" w14:paraId="3E6ED219" w14:textId="77777777" w:rsidTr="004A4674">
        <w:trPr>
          <w:tblCellSpacing w:w="15" w:type="dxa"/>
        </w:trPr>
        <w:tc>
          <w:tcPr>
            <w:tcW w:w="0" w:type="auto"/>
            <w:vAlign w:val="center"/>
            <w:hideMark/>
          </w:tcPr>
          <w:p w14:paraId="3FFEB3A4" w14:textId="77777777" w:rsidR="004A4674" w:rsidRPr="004A4674" w:rsidRDefault="004A4674" w:rsidP="004A4674">
            <w:r w:rsidRPr="004A4674">
              <w:t>Engineering Delays</w:t>
            </w:r>
          </w:p>
        </w:tc>
        <w:tc>
          <w:tcPr>
            <w:tcW w:w="0" w:type="auto"/>
            <w:vAlign w:val="center"/>
            <w:hideMark/>
          </w:tcPr>
          <w:p w14:paraId="293E81FB" w14:textId="77777777" w:rsidR="004A4674" w:rsidRPr="004A4674" w:rsidRDefault="004A4674" w:rsidP="004A4674">
            <w:r w:rsidRPr="004A4674">
              <w:t>Prototype development may take longer</w:t>
            </w:r>
          </w:p>
        </w:tc>
        <w:tc>
          <w:tcPr>
            <w:tcW w:w="0" w:type="auto"/>
            <w:vAlign w:val="center"/>
            <w:hideMark/>
          </w:tcPr>
          <w:p w14:paraId="5E0D4722" w14:textId="77777777" w:rsidR="004A4674" w:rsidRPr="004A4674" w:rsidRDefault="004A4674" w:rsidP="004A4674">
            <w:r w:rsidRPr="004A4674">
              <w:t>Dedicated project manager and weekly check-ins</w:t>
            </w:r>
          </w:p>
        </w:tc>
      </w:tr>
      <w:tr w:rsidR="004A4674" w:rsidRPr="004A4674" w14:paraId="36C632A7" w14:textId="77777777" w:rsidTr="004A4674">
        <w:trPr>
          <w:tblCellSpacing w:w="15" w:type="dxa"/>
        </w:trPr>
        <w:tc>
          <w:tcPr>
            <w:tcW w:w="0" w:type="auto"/>
            <w:vAlign w:val="center"/>
            <w:hideMark/>
          </w:tcPr>
          <w:p w14:paraId="3C7ECE64" w14:textId="77777777" w:rsidR="004A4674" w:rsidRPr="004A4674" w:rsidRDefault="004A4674" w:rsidP="004A4674">
            <w:r w:rsidRPr="004A4674">
              <w:t>Supply Chain Issues</w:t>
            </w:r>
          </w:p>
        </w:tc>
        <w:tc>
          <w:tcPr>
            <w:tcW w:w="0" w:type="auto"/>
            <w:vAlign w:val="center"/>
            <w:hideMark/>
          </w:tcPr>
          <w:p w14:paraId="67C0ACD7" w14:textId="77777777" w:rsidR="004A4674" w:rsidRPr="004A4674" w:rsidRDefault="004A4674" w:rsidP="004A4674">
            <w:r w:rsidRPr="004A4674">
              <w:t>Component shortages or delivery delays</w:t>
            </w:r>
          </w:p>
        </w:tc>
        <w:tc>
          <w:tcPr>
            <w:tcW w:w="0" w:type="auto"/>
            <w:vAlign w:val="center"/>
            <w:hideMark/>
          </w:tcPr>
          <w:p w14:paraId="65B39E21" w14:textId="77777777" w:rsidR="004A4674" w:rsidRPr="004A4674" w:rsidRDefault="004A4674" w:rsidP="004A4674">
            <w:r w:rsidRPr="004A4674">
              <w:t xml:space="preserve">Early </w:t>
            </w:r>
            <w:proofErr w:type="gramStart"/>
            <w:r w:rsidRPr="004A4674">
              <w:t>sourcing</w:t>
            </w:r>
            <w:proofErr w:type="gramEnd"/>
            <w:r w:rsidRPr="004A4674">
              <w:t>; backup suppliers</w:t>
            </w:r>
          </w:p>
        </w:tc>
      </w:tr>
      <w:tr w:rsidR="004A4674" w:rsidRPr="004A4674" w14:paraId="639889D5" w14:textId="77777777" w:rsidTr="004A4674">
        <w:trPr>
          <w:tblCellSpacing w:w="15" w:type="dxa"/>
        </w:trPr>
        <w:tc>
          <w:tcPr>
            <w:tcW w:w="0" w:type="auto"/>
            <w:vAlign w:val="center"/>
            <w:hideMark/>
          </w:tcPr>
          <w:p w14:paraId="6C920243" w14:textId="77777777" w:rsidR="004A4674" w:rsidRPr="004A4674" w:rsidRDefault="004A4674" w:rsidP="004A4674">
            <w:r w:rsidRPr="004A4674">
              <w:t>Cost Overruns</w:t>
            </w:r>
          </w:p>
        </w:tc>
        <w:tc>
          <w:tcPr>
            <w:tcW w:w="0" w:type="auto"/>
            <w:vAlign w:val="center"/>
            <w:hideMark/>
          </w:tcPr>
          <w:p w14:paraId="386DBD20" w14:textId="77777777" w:rsidR="004A4674" w:rsidRPr="004A4674" w:rsidRDefault="004A4674" w:rsidP="004A4674">
            <w:r w:rsidRPr="004A4674">
              <w:t>Design or material costs may exceed estimates</w:t>
            </w:r>
          </w:p>
        </w:tc>
        <w:tc>
          <w:tcPr>
            <w:tcW w:w="0" w:type="auto"/>
            <w:vAlign w:val="center"/>
            <w:hideMark/>
          </w:tcPr>
          <w:p w14:paraId="64FD46F8" w14:textId="77777777" w:rsidR="004A4674" w:rsidRPr="004A4674" w:rsidRDefault="004A4674" w:rsidP="004A4674">
            <w:r w:rsidRPr="004A4674">
              <w:t>Phase budgeting with contingency buffer</w:t>
            </w:r>
          </w:p>
        </w:tc>
      </w:tr>
      <w:tr w:rsidR="004A4674" w:rsidRPr="004A4674" w14:paraId="256CDA88" w14:textId="77777777" w:rsidTr="004A4674">
        <w:trPr>
          <w:tblCellSpacing w:w="15" w:type="dxa"/>
        </w:trPr>
        <w:tc>
          <w:tcPr>
            <w:tcW w:w="0" w:type="auto"/>
            <w:vAlign w:val="center"/>
            <w:hideMark/>
          </w:tcPr>
          <w:p w14:paraId="6DECA63D" w14:textId="77777777" w:rsidR="004A4674" w:rsidRPr="004A4674" w:rsidRDefault="004A4674" w:rsidP="004A4674">
            <w:r w:rsidRPr="004A4674">
              <w:t>Channel Pricing Fluctuation</w:t>
            </w:r>
          </w:p>
        </w:tc>
        <w:tc>
          <w:tcPr>
            <w:tcW w:w="0" w:type="auto"/>
            <w:vAlign w:val="center"/>
            <w:hideMark/>
          </w:tcPr>
          <w:p w14:paraId="2AB267A6" w14:textId="77777777" w:rsidR="004A4674" w:rsidRPr="004A4674" w:rsidRDefault="004A4674" w:rsidP="004A4674">
            <w:r w:rsidRPr="004A4674">
              <w:t>Retail/wholesale channel cost increases</w:t>
            </w:r>
          </w:p>
        </w:tc>
        <w:tc>
          <w:tcPr>
            <w:tcW w:w="0" w:type="auto"/>
            <w:vAlign w:val="center"/>
            <w:hideMark/>
          </w:tcPr>
          <w:p w14:paraId="193F1DF4" w14:textId="77777777" w:rsidR="004A4674" w:rsidRPr="004A4674" w:rsidRDefault="004A4674" w:rsidP="004A4674">
            <w:r w:rsidRPr="004A4674">
              <w:t>Use multiple distribution models (retail + online)</w:t>
            </w:r>
          </w:p>
        </w:tc>
      </w:tr>
    </w:tbl>
    <w:p w14:paraId="5C08526B" w14:textId="2EAD695B" w:rsidR="004A4674" w:rsidRPr="004A4674" w:rsidRDefault="004A4674" w:rsidP="004A4674"/>
    <w:p w14:paraId="464EC9DB" w14:textId="77777777" w:rsidR="004A4674" w:rsidRPr="004A4674" w:rsidRDefault="004A4674" w:rsidP="004A4674">
      <w:pPr>
        <w:rPr>
          <w:b/>
          <w:bCs/>
        </w:rPr>
      </w:pPr>
      <w:r w:rsidRPr="004A4674">
        <w:rPr>
          <w:b/>
          <w:bCs/>
        </w:rPr>
        <w:t>9. Key Performance Indicators (KPIs)</w:t>
      </w:r>
    </w:p>
    <w:p w14:paraId="57A2C17B" w14:textId="79D976CB" w:rsidR="004A4674" w:rsidRPr="004A4674" w:rsidRDefault="004A4674" w:rsidP="004A4674">
      <w:pPr>
        <w:pStyle w:val="ListParagraph"/>
        <w:numPr>
          <w:ilvl w:val="0"/>
          <w:numId w:val="23"/>
        </w:numPr>
      </w:pPr>
      <w:r w:rsidRPr="004A4674">
        <w:t>Market share (</w:t>
      </w:r>
      <w:r w:rsidRPr="004A4674">
        <w:t>pre- vs. post-launch</w:t>
      </w:r>
      <w:r w:rsidRPr="004A4674">
        <w:t>)</w:t>
      </w:r>
    </w:p>
    <w:p w14:paraId="19E56D3E" w14:textId="77777777" w:rsidR="004A4674" w:rsidRPr="004A4674" w:rsidRDefault="004A4674" w:rsidP="004A4674">
      <w:pPr>
        <w:pStyle w:val="ListParagraph"/>
        <w:numPr>
          <w:ilvl w:val="0"/>
          <w:numId w:val="23"/>
        </w:numPr>
      </w:pPr>
      <w:r w:rsidRPr="004A4674">
        <w:t>Sales revenue</w:t>
      </w:r>
    </w:p>
    <w:p w14:paraId="119CAA09" w14:textId="77777777" w:rsidR="004A4674" w:rsidRPr="004A4674" w:rsidRDefault="004A4674" w:rsidP="004A4674">
      <w:pPr>
        <w:pStyle w:val="ListParagraph"/>
        <w:numPr>
          <w:ilvl w:val="0"/>
          <w:numId w:val="23"/>
        </w:numPr>
      </w:pPr>
      <w:r w:rsidRPr="004A4674">
        <w:t>Customer satisfaction (CSAT)</w:t>
      </w:r>
    </w:p>
    <w:p w14:paraId="4233CBD3" w14:textId="77777777" w:rsidR="004A4674" w:rsidRPr="004A4674" w:rsidRDefault="004A4674" w:rsidP="004A4674">
      <w:pPr>
        <w:pStyle w:val="ListParagraph"/>
        <w:numPr>
          <w:ilvl w:val="0"/>
          <w:numId w:val="23"/>
        </w:numPr>
      </w:pPr>
      <w:r w:rsidRPr="004A4674">
        <w:t>Product return rate</w:t>
      </w:r>
    </w:p>
    <w:p w14:paraId="3EEBC21A" w14:textId="147EC944" w:rsidR="004A4674" w:rsidRPr="004A4674" w:rsidRDefault="004A4674" w:rsidP="004A4674">
      <w:pPr>
        <w:pStyle w:val="ListParagraph"/>
        <w:numPr>
          <w:ilvl w:val="0"/>
          <w:numId w:val="23"/>
        </w:numPr>
      </w:pPr>
      <w:r w:rsidRPr="004A4674">
        <w:t xml:space="preserve">Filter </w:t>
      </w:r>
      <w:r w:rsidRPr="004A4674">
        <w:t>repurchases</w:t>
      </w:r>
      <w:r w:rsidRPr="004A4674">
        <w:t xml:space="preserve"> rate</w:t>
      </w:r>
    </w:p>
    <w:p w14:paraId="7582456B" w14:textId="77777777" w:rsidR="004A4674" w:rsidRPr="004A4674" w:rsidRDefault="004A4674" w:rsidP="004A4674">
      <w:pPr>
        <w:rPr>
          <w:b/>
          <w:bCs/>
        </w:rPr>
      </w:pPr>
      <w:r w:rsidRPr="004A4674">
        <w:rPr>
          <w:b/>
          <w:bCs/>
        </w:rPr>
        <w:t>10. Recommendation</w:t>
      </w:r>
    </w:p>
    <w:p w14:paraId="21AE223E" w14:textId="77777777" w:rsidR="004A4674" w:rsidRPr="004A4674" w:rsidRDefault="004A4674" w:rsidP="004A4674">
      <w:r w:rsidRPr="004A4674">
        <w:t>Proceed with product development and allocate remaining funding to support design, engineering, testing, and launch preparation. The business case demonstrates a strong ROI, market fit, and strategic value to PP LLC.</w:t>
      </w:r>
    </w:p>
    <w:p w14:paraId="41D1D737" w14:textId="3580CD99" w:rsidR="009B6976" w:rsidRPr="004A4674" w:rsidRDefault="009B6976" w:rsidP="004A4674"/>
    <w:sectPr w:rsidR="009B6976" w:rsidRPr="004A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2DF8"/>
    <w:multiLevelType w:val="multilevel"/>
    <w:tmpl w:val="6D5E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2238D"/>
    <w:multiLevelType w:val="multilevel"/>
    <w:tmpl w:val="2558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3FCC"/>
    <w:multiLevelType w:val="hybridMultilevel"/>
    <w:tmpl w:val="7F6A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C2CE4"/>
    <w:multiLevelType w:val="hybridMultilevel"/>
    <w:tmpl w:val="ACA4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20F94"/>
    <w:multiLevelType w:val="multilevel"/>
    <w:tmpl w:val="9ECA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33C04"/>
    <w:multiLevelType w:val="multilevel"/>
    <w:tmpl w:val="442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E6160"/>
    <w:multiLevelType w:val="hybridMultilevel"/>
    <w:tmpl w:val="BE8A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93835"/>
    <w:multiLevelType w:val="hybridMultilevel"/>
    <w:tmpl w:val="2D92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F509E"/>
    <w:multiLevelType w:val="multilevel"/>
    <w:tmpl w:val="E1C8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978C3"/>
    <w:multiLevelType w:val="multilevel"/>
    <w:tmpl w:val="616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75933"/>
    <w:multiLevelType w:val="hybridMultilevel"/>
    <w:tmpl w:val="AB30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E024D"/>
    <w:multiLevelType w:val="multilevel"/>
    <w:tmpl w:val="D636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B07B5"/>
    <w:multiLevelType w:val="hybridMultilevel"/>
    <w:tmpl w:val="C172E7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0449C"/>
    <w:multiLevelType w:val="hybridMultilevel"/>
    <w:tmpl w:val="D48E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15EB9"/>
    <w:multiLevelType w:val="multilevel"/>
    <w:tmpl w:val="717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0053A"/>
    <w:multiLevelType w:val="multilevel"/>
    <w:tmpl w:val="7FEA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861AD"/>
    <w:multiLevelType w:val="multilevel"/>
    <w:tmpl w:val="F9C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F58BE"/>
    <w:multiLevelType w:val="multilevel"/>
    <w:tmpl w:val="59D2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8135D"/>
    <w:multiLevelType w:val="multilevel"/>
    <w:tmpl w:val="213A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611CF"/>
    <w:multiLevelType w:val="multilevel"/>
    <w:tmpl w:val="E116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E0C53"/>
    <w:multiLevelType w:val="hybridMultilevel"/>
    <w:tmpl w:val="DBF4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93A7A"/>
    <w:multiLevelType w:val="hybridMultilevel"/>
    <w:tmpl w:val="3510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641F4"/>
    <w:multiLevelType w:val="hybridMultilevel"/>
    <w:tmpl w:val="E918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2A5895"/>
    <w:multiLevelType w:val="hybridMultilevel"/>
    <w:tmpl w:val="1E3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44DCE"/>
    <w:multiLevelType w:val="multilevel"/>
    <w:tmpl w:val="5F3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068CB"/>
    <w:multiLevelType w:val="multilevel"/>
    <w:tmpl w:val="216A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212819">
    <w:abstractNumId w:val="19"/>
  </w:num>
  <w:num w:numId="2" w16cid:durableId="1498572411">
    <w:abstractNumId w:val="18"/>
  </w:num>
  <w:num w:numId="3" w16cid:durableId="954483203">
    <w:abstractNumId w:val="15"/>
  </w:num>
  <w:num w:numId="4" w16cid:durableId="624701170">
    <w:abstractNumId w:val="9"/>
  </w:num>
  <w:num w:numId="5" w16cid:durableId="1118644127">
    <w:abstractNumId w:val="17"/>
  </w:num>
  <w:num w:numId="6" w16cid:durableId="1032074977">
    <w:abstractNumId w:val="8"/>
  </w:num>
  <w:num w:numId="7" w16cid:durableId="2026176554">
    <w:abstractNumId w:val="4"/>
  </w:num>
  <w:num w:numId="8" w16cid:durableId="309293600">
    <w:abstractNumId w:val="24"/>
  </w:num>
  <w:num w:numId="9" w16cid:durableId="2081949877">
    <w:abstractNumId w:val="1"/>
  </w:num>
  <w:num w:numId="10" w16cid:durableId="202325364">
    <w:abstractNumId w:val="14"/>
  </w:num>
  <w:num w:numId="11" w16cid:durableId="686980665">
    <w:abstractNumId w:val="7"/>
  </w:num>
  <w:num w:numId="12" w16cid:durableId="844588914">
    <w:abstractNumId w:val="13"/>
  </w:num>
  <w:num w:numId="13" w16cid:durableId="1982808532">
    <w:abstractNumId w:val="6"/>
  </w:num>
  <w:num w:numId="14" w16cid:durableId="2098941530">
    <w:abstractNumId w:val="3"/>
  </w:num>
  <w:num w:numId="15" w16cid:durableId="382945850">
    <w:abstractNumId w:val="20"/>
  </w:num>
  <w:num w:numId="16" w16cid:durableId="1889608408">
    <w:abstractNumId w:val="22"/>
  </w:num>
  <w:num w:numId="17" w16cid:durableId="120198886">
    <w:abstractNumId w:val="12"/>
  </w:num>
  <w:num w:numId="18" w16cid:durableId="97989590">
    <w:abstractNumId w:val="5"/>
  </w:num>
  <w:num w:numId="19" w16cid:durableId="12928344">
    <w:abstractNumId w:val="16"/>
  </w:num>
  <w:num w:numId="20" w16cid:durableId="1140460397">
    <w:abstractNumId w:val="0"/>
  </w:num>
  <w:num w:numId="21" w16cid:durableId="2116754369">
    <w:abstractNumId w:val="25"/>
  </w:num>
  <w:num w:numId="22" w16cid:durableId="405299445">
    <w:abstractNumId w:val="11"/>
  </w:num>
  <w:num w:numId="23" w16cid:durableId="719788683">
    <w:abstractNumId w:val="23"/>
  </w:num>
  <w:num w:numId="24" w16cid:durableId="847405672">
    <w:abstractNumId w:val="2"/>
  </w:num>
  <w:num w:numId="25" w16cid:durableId="1003359534">
    <w:abstractNumId w:val="21"/>
  </w:num>
  <w:num w:numId="26" w16cid:durableId="1605267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2A"/>
    <w:rsid w:val="000E6224"/>
    <w:rsid w:val="004A4674"/>
    <w:rsid w:val="004C3E2A"/>
    <w:rsid w:val="00735B22"/>
    <w:rsid w:val="00846A85"/>
    <w:rsid w:val="009B6976"/>
    <w:rsid w:val="009D59B6"/>
    <w:rsid w:val="00AD188A"/>
    <w:rsid w:val="00B259DE"/>
    <w:rsid w:val="00C514BE"/>
    <w:rsid w:val="00F9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B971"/>
  <w15:chartTrackingRefBased/>
  <w15:docId w15:val="{33959C33-0983-4920-9A66-AF0D7B75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E2A"/>
    <w:rPr>
      <w:rFonts w:eastAsiaTheme="majorEastAsia" w:cstheme="majorBidi"/>
      <w:color w:val="272727" w:themeColor="text1" w:themeTint="D8"/>
    </w:rPr>
  </w:style>
  <w:style w:type="paragraph" w:styleId="Title">
    <w:name w:val="Title"/>
    <w:basedOn w:val="Normal"/>
    <w:next w:val="Normal"/>
    <w:link w:val="TitleChar"/>
    <w:uiPriority w:val="10"/>
    <w:qFormat/>
    <w:rsid w:val="004C3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E2A"/>
    <w:pPr>
      <w:spacing w:before="160"/>
      <w:jc w:val="center"/>
    </w:pPr>
    <w:rPr>
      <w:i/>
      <w:iCs/>
      <w:color w:val="404040" w:themeColor="text1" w:themeTint="BF"/>
    </w:rPr>
  </w:style>
  <w:style w:type="character" w:customStyle="1" w:styleId="QuoteChar">
    <w:name w:val="Quote Char"/>
    <w:basedOn w:val="DefaultParagraphFont"/>
    <w:link w:val="Quote"/>
    <w:uiPriority w:val="29"/>
    <w:rsid w:val="004C3E2A"/>
    <w:rPr>
      <w:i/>
      <w:iCs/>
      <w:color w:val="404040" w:themeColor="text1" w:themeTint="BF"/>
    </w:rPr>
  </w:style>
  <w:style w:type="paragraph" w:styleId="ListParagraph">
    <w:name w:val="List Paragraph"/>
    <w:basedOn w:val="Normal"/>
    <w:uiPriority w:val="34"/>
    <w:qFormat/>
    <w:rsid w:val="004C3E2A"/>
    <w:pPr>
      <w:ind w:left="720"/>
      <w:contextualSpacing/>
    </w:pPr>
  </w:style>
  <w:style w:type="character" w:styleId="IntenseEmphasis">
    <w:name w:val="Intense Emphasis"/>
    <w:basedOn w:val="DefaultParagraphFont"/>
    <w:uiPriority w:val="21"/>
    <w:qFormat/>
    <w:rsid w:val="004C3E2A"/>
    <w:rPr>
      <w:i/>
      <w:iCs/>
      <w:color w:val="0F4761" w:themeColor="accent1" w:themeShade="BF"/>
    </w:rPr>
  </w:style>
  <w:style w:type="paragraph" w:styleId="IntenseQuote">
    <w:name w:val="Intense Quote"/>
    <w:basedOn w:val="Normal"/>
    <w:next w:val="Normal"/>
    <w:link w:val="IntenseQuoteChar"/>
    <w:uiPriority w:val="30"/>
    <w:qFormat/>
    <w:rsid w:val="004C3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E2A"/>
    <w:rPr>
      <w:i/>
      <w:iCs/>
      <w:color w:val="0F4761" w:themeColor="accent1" w:themeShade="BF"/>
    </w:rPr>
  </w:style>
  <w:style w:type="character" w:styleId="IntenseReference">
    <w:name w:val="Intense Reference"/>
    <w:basedOn w:val="DefaultParagraphFont"/>
    <w:uiPriority w:val="32"/>
    <w:qFormat/>
    <w:rsid w:val="004C3E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 Sarwadia</dc:creator>
  <cp:keywords/>
  <dc:description/>
  <cp:lastModifiedBy>Yukti Sarwadia</cp:lastModifiedBy>
  <cp:revision>2</cp:revision>
  <dcterms:created xsi:type="dcterms:W3CDTF">2025-07-29T20:21:00Z</dcterms:created>
  <dcterms:modified xsi:type="dcterms:W3CDTF">2025-07-29T20:21:00Z</dcterms:modified>
</cp:coreProperties>
</file>