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ind/>
        <w:jc w:val="left"/>
        <w:rPr/>
      </w:pPr>
      <w:r>
        <w:rPr>
          <w:rFonts w:hint="eastAsia"/>
        </w:rPr>
        <w:t>管理篇</w:t>
      </w:r>
    </w:p>
    <w:p>
      <w:pPr>
        <w:pStyle w:val="000002"/>
        <w:numPr>
          <w:ilvl w:val="0"/>
          <w:numId w:val="1"/>
        </w:numPr>
        <w:rPr/>
      </w:pPr>
      <w:r>
        <w:rPr/>
        <w:t>问题背景：组织架构与管理机制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所有制性质与治理结构</w:t>
      </w:r>
    </w:p>
    <w:p>
      <w:pPr>
        <w:pStyle w:val="000001"/>
        <w:pBdr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从访谈看，受访者将财新概括为具有混合所有制色彩、市场化运作程度较高的财经媒体：其资本结构涉及华人文化基金、员工持股和其他投资者。公开资料也显示，财新传媒不是上市公司，其股东结构和完整持股比例未以统一公告长期披露，因此更稳妥的表述是：财新处在多元资本参与、市场化经营和新闻专业主义约束并存的治理环境中。</w:t>
      </w:r>
    </w:p>
    <w:p>
      <w:pPr>
        <w:pStyle w:val="000001"/>
        <w:pBdr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治理机制上，财新最突出的制度设计是公信力委员会。财新中文官网称，该委员会独立于董事会和管理委员会，对编辑方针设定拥有审议权；Caixin Global 的英文介绍进一步强调其独立于董事会和管理层，并对编辑原则和总编辑任免拥有关键权力。这说明财新的组织设计一开始就把编辑独立作为核心资产来保护。</w:t>
      </w:r>
    </w:p>
    <w:p>
      <w:pPr>
        <w:pStyle w:val="000001"/>
        <w:pBdr/>
        <w:ind w:left="336"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numPr>
          <w:ilvl w:val="0"/>
          <w:numId w:val="2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编辑管理机制</w:t>
      </w:r>
      <w:r>
        <w:rPr>
          <w:rFonts w:hint="eastAsia"/>
          <w:i w:val="0"/>
          <w:strike w:val="0"/>
          <w:spacing w:val="0"/>
          <w:u w:val="none"/>
        </w:rPr>
        <w:br w:type="textWrapping"/>
      </w:r>
      <w:r>
        <w:rPr>
          <w:rFonts w:hint="eastAsia"/>
          <w:i w:val="0"/>
          <w:strike w:val="0"/>
          <w:spacing w:val="0"/>
          <w:u w:val="none"/>
        </w:rPr>
        <w:t>访谈显示，财新内部大体分为编辑部和经营部两条线：编辑部有编委层，经营部有执行委员会；新闻报道和商业内容在标签、版式和工作流程上做区分。受访者明确提到，日常采编文章由编辑部独立完成，经营人员和采编人员一般不会在执行层直接沟通。这种机制能降低商业利益对报道的干预，是财新公信力的基础。</w:t>
      </w:r>
    </w:p>
    <w:p>
      <w:pPr>
        <w:pStyle w:val="000001"/>
        <w:pBdr>
          <w:bottom/>
        </w:pBdr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但同一访谈也指出，财新的管理制度并不像大型企业那样完整，整体更偏扁平、传统和“新闻作坊式”。在内容生产相对单一时，这种结构可以高效运作；当财新进入“新闻+数据+会议+AI+会员运营”的多产品阶段后，原有结构就容易出现项目孵化、跨部门协作和人才激励不足的问题。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外部压力：审查与政治风险</w:t>
      </w:r>
      <w:r>
        <w:rPr>
          <w:rFonts w:hint="eastAsia"/>
          <w:i w:val="0"/>
          <w:strike w:val="0"/>
          <w:spacing w:val="0"/>
          <w:u w:val="none"/>
        </w:rPr>
        <w:br w:type="textWrapping"/>
      </w:r>
      <w:r>
        <w:rPr>
          <w:rFonts w:hint="eastAsia"/>
          <w:i w:val="0"/>
          <w:strike w:val="0"/>
          <w:spacing w:val="0"/>
          <w:u w:val="none"/>
        </w:rPr>
        <w:t>财新坚持付费订阅形成了稀缺优势。财新公开资料显示，其付费订阅用户从2019年的30万增长到2023年的100万，2024年会员日页面又提到“120万订阅会员”。按2019年至2024年测算，订阅规模约5年增长4倍，年复合增速约32%。这证明读者付费是财新的经营基本盘。</w:t>
      </w:r>
    </w:p>
    <w:p>
      <w:pPr>
        <w:pStyle w:val="000001"/>
        <w:pBdr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但行业环境并不轻松。国家新闻出版署《2024年新闻出版统计公报》显示，2024年全国报纸出版营业收入同比下降5.35%，利润总额同比下降20.17%；全国广告业整体增长，但互联网广告发布收入占发布环节比重升至86.5%，广告预算继续向平台迁移。《2024中国互联网广告数据报告》还显示，互联网广告前十家公司市场份额达96.01%，前四家公司占74.25%，新闻资讯类平台虽绝对规模增长但份额下滑。也就是说，财新不能主要依赖泛广告竞争，必须把高质量内容转化为会员续费、机构订阅、数据产品和智库服务。</w:t>
      </w:r>
    </w:p>
    <w:p>
      <w:pPr>
        <w:pStyle w:val="000001"/>
        <w:pBdr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外部政治和合规风险同样决定了财新的组织方案不能激进平台化。调查报道和财经监督天然面临更高风险，内容安全、客户边界、AI生成内容责任都需要制度化人员来管理，而不能只靠个人经验。</w:t>
      </w:r>
    </w:p>
    <w:p>
      <w:pPr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numPr>
          <w:ilvl w:val="0"/>
          <w:numId w:val="2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横向对比：国际同行的编辑独立机制</w:t>
      </w:r>
    </w:p>
    <w:p>
      <w:pPr>
        <w:pStyle w:val="000001"/>
        <w:pBdr/>
        <w:ind w:left="336"/>
        <w:rPr>
          <w:rFonts w:hint="eastAsia"/>
          <w:i w:val="0"/>
          <w:strike w:val="0"/>
          <w:spacing w:val="0"/>
          <w:u w:val="none"/>
        </w:rPr>
      </w:pPr>
    </w:p>
    <w:tbl>
      <w:tblPr>
        <w:tblStyle w:val="000015"/>
        <w:jc w:val="center"/>
        <w:tblLayout w:type="fixed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媒体/机制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公开做法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对财新的启示</w:t>
            </w:r>
          </w:p>
        </w:tc>
      </w:tr>
      <w:tr>
        <w:trPr/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Financial Times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Nikkei收购FT时公开承诺保持FT完整的编辑独立和自由，并强调通过长期投资和新产品增长，而非削减人员。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资本进入不必等于编辑让渡，关键是把编辑独立写入治理承诺和管理流程。</w:t>
            </w:r>
          </w:p>
        </w:tc>
      </w:tr>
      <w:tr>
        <w:trPr/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The Guardian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对外部资助内容设置清晰标签；资助方可建议议题，但编辑不必接受，稿件不送资助方审批。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商业合作可以存在，但必须有标签、编辑否决权和审批留痕。</w:t>
            </w:r>
          </w:p>
        </w:tc>
      </w:tr>
      <w:tr>
        <w:trPr/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The New York Times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广告和Advertorial需要独立审查，误导性或不合规广告可被拒绝。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经营团队的激励应设置合规扣减和一票否决，避免软文侵蚀公信力。</w:t>
            </w:r>
          </w:p>
        </w:tc>
      </w:tr>
      <w:tr>
        <w:trPr/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财新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已设公信力委员会、采编经营分离，并拥有“新闻+数据”业务集群。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下一步不是削弱防火墙，而是补上跨部门中台、数据治理和人力激励制度。</w:t>
            </w:r>
          </w:p>
        </w:tc>
      </w:tr>
    </w:tbl>
    <w:p>
      <w:pPr>
        <w:pStyle w:val="000001"/>
        <w:pBdr/>
        <w:ind w:left="336"/>
        <w:rPr>
          <w:rFonts w:hint="eastAsia"/>
          <w:i w:val="0"/>
          <w:strike w:val="0"/>
          <w:spacing w:val="0"/>
          <w:u w:val="none"/>
        </w:rPr>
      </w:pPr>
    </w:p>
    <w:p>
      <w:pPr>
        <w:pStyle w:val="000002"/>
        <w:numPr>
          <w:ilvl w:val="0"/>
          <w:numId w:val="1"/>
        </w:numPr>
        <w:pBdr/>
        <w:ind/>
        <w:rPr/>
      </w:pPr>
      <w:r>
        <w:rPr/>
        <w:t>核心问题</w:t>
      </w:r>
    </w:p>
    <w:p>
      <w:pPr>
        <w:snapToGrid w:val="1"/>
        <w:spacing w:after="160" w:line="274"/>
        <w:ind/>
        <w:rPr/>
      </w:pPr>
      <w:r>
        <w:rPr>
          <w:rFonts w:hint="eastAsia"/>
        </w:rPr>
        <w:t>备选：组织架构问题（AI背景下的发展）、人力资源、管理制度问题</w:t>
      </w:r>
      <w:r>
        <w:rPr/>
        <w:br w:type="textWrapping"/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财新已有强编辑独立机制，但缺少能在采编、技术、产品、会员和经营之间合法流动的人力架构，导致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和数据产品转型缺少稳定组织载体。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  <w:r>
        <w:rPr/>
        <w:t>1.采编与经营的边界只有“禁止线”，缺少“协作线”。经营端掌握用户画像、续订变化、机构客户需求和会员反馈，但这些信息如果没有脱敏、聚合和审批机制，就无法安全进入选题复盘与产品设计；编辑端拥有专业知识、专家网络和报道资料，也难以被结构化为可复用的数据资产。</w:t>
      </w:r>
    </w:p>
    <w:p>
      <w:pPr>
        <w:pStyle w:val="000001"/>
        <w:pBdr/>
        <w:ind/>
        <w:rPr/>
      </w:pPr>
      <w:r>
        <w:rPr/>
        <w:t>2.人才结构仍偏传统新闻作坊。访谈提到财新层级简单、机制不够正式，这适合深度报道团队的专业自治，却不适合持续推进AI工具、数据资产、产品迭代和项目孵化。AI转型需要“记者+编辑+产品经理+数据工程师+会员运营+合规官”共同工作。</w:t>
      </w:r>
    </w:p>
    <w:p>
      <w:pPr>
        <w:pStyle w:val="000001"/>
        <w:pBdr/>
        <w:ind/>
        <w:rPr/>
      </w:pPr>
      <w:r>
        <w:rPr/>
        <w:t>3.激励目标没有同时覆盖公信力、订阅价值和技术协同。如果采编只考核报道质量，经营只考核收入，技术只考核上线功能，三方会自然形成局部最优。财新需要共同指标，但共同指标必须避开客户对选题的直接影响。</w:t>
      </w:r>
    </w:p>
    <w:tbl>
      <w:tblPr>
        <w:tblStyle w:val="000015"/>
        <w:jc w:val="center"/>
        <w:tblLayout w:type="fixed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数据依据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关键数字/事实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管理含义</w:t>
            </w:r>
          </w:p>
        </w:tc>
      </w:tr>
      <w:tr>
        <w:trPr/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订阅基本盘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2019年30万付费订户，2023年100万，2024年公开页面提到120万订阅会员。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订阅是财新的核心资产，未来重点应从单纯拉新转向留存、ARPU和机构订阅。</w:t>
            </w:r>
          </w:p>
        </w:tc>
      </w:tr>
      <w:tr>
        <w:trPr/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传统报刊承压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2024年全国报纸营收下降5.35%，利润下降20.17%。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不能把增长寄托在传统发行和广告，应发展会员、数据和会议等复合收入。</w:t>
            </w:r>
          </w:p>
        </w:tc>
      </w:tr>
      <w:tr>
        <w:trPr/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广告平台化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2024年互联网广告前十公司市场份额96.01%，前四公司74.25%。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垂直财经媒体不宜与平台拼流量广告，而应拼专业信任和高价值用户。</w:t>
            </w:r>
          </w:p>
        </w:tc>
      </w:tr>
      <w:tr>
        <w:trPr/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AI行业趋势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WAN-IFRA 2025调查显示，75%媒体领导者报告AI带来效率提升，但只有9%报告可衡量收入增长。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AI不能只做工具上线，必须嵌入人的流程、产品和绩效指标，才能转为收入。</w:t>
            </w:r>
          </w:p>
        </w:tc>
      </w:tr>
      <w:tr>
        <w:trPr/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财新自身实践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财新2024年初成立AI实验室，已有“织雀”“群雁”，并于2025年与Kimi合作。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财新已经有技术基础，短板是跨部门人力结构和治理机制。</w:t>
            </w:r>
          </w:p>
        </w:tc>
      </w:tr>
    </w:tbl>
    <w:p>
      <w:pPr>
        <w:pStyle w:val="000001"/>
        <w:pBdr/>
        <w:ind/>
        <w:rPr/>
      </w:pPr>
    </w:p>
    <w:p>
      <w:pPr>
        <w:pStyle w:val="000001"/>
        <w:pBdr/>
        <w:rPr/>
      </w:pPr>
    </w:p>
    <w:p>
      <w:pPr>
        <w:pStyle w:val="000002"/>
        <w:numPr>
          <w:ilvl w:val="0"/>
          <w:numId w:val="1"/>
        </w:numPr>
        <w:pBdr/>
        <w:ind/>
        <w:rPr/>
      </w:pPr>
      <w:r>
        <w:rPr/>
        <w:t>解决方案</w:t>
      </w:r>
    </w:p>
    <w:p>
      <w:pPr>
        <w:snapToGrid w:val="1"/>
        <w:spacing w:after="16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方案原则：不拆防火墙，只重构人的协同方式。编辑独立仍由公信力委员会、总编辑和编委层保护；经营目标仍由总裁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总经理和经营委员会负责；新增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数据与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赋能中心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和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内容产品项目小队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，专门处理可流动的脱敏数据、产品需求、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工具和知识资产。</w:t>
      </w:r>
    </w:p>
    <w:p>
      <w:pPr>
        <w:pStyle w:val="000003"/>
        <w:snapToGrid w:val="1"/>
        <w:spacing w:before="200" w:after="0" w:line="274"/>
        <w:ind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1. 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建议组织架构</w:t>
      </w:r>
    </w:p>
    <w:p>
      <w:pPr>
        <w:snapToGrid w:val="1"/>
        <w:spacing w:after="16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建议架构可以概括为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一委两线一中心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N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小队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：</w:t>
      </w:r>
    </w:p>
    <w:p>
      <w:pPr>
        <w:tabs>
          <w:tab w:val="left" w:pos="360"/>
        </w:tabs>
        <w:snapToGrid w:val="1"/>
        <w:spacing w:after="80" w:line="274"/>
        <w:ind w:left="360" w:hanging="360"/>
        <w:rPr/>
      </w:pPr>
      <w:r>
        <w:rPr>
          <w:rFonts w:ascii="Symbol" w:hAnsi="Symbol" w:cs="Symbol"/>
          <w:i w:val="0"/>
          <w:strike w:val="0"/>
          <w:color w:val="000000"/>
          <w:sz w:val="22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一委：公信力委员会，负责编辑原则、重大伦理边界和总编辑任免等治理约束。</w:t>
      </w:r>
    </w:p>
    <w:p>
      <w:pPr>
        <w:tabs>
          <w:tab w:val="left" w:pos="360"/>
        </w:tabs>
        <w:snapToGrid w:val="1"/>
        <w:spacing w:after="80" w:line="274"/>
        <w:ind w:left="360" w:hanging="360"/>
        <w:rPr/>
      </w:pPr>
      <w:r>
        <w:rPr>
          <w:rFonts w:ascii="Symbol" w:hAnsi="Symbol" w:cs="Symbol"/>
          <w:i w:val="0"/>
          <w:strike w:val="0"/>
          <w:color w:val="000000"/>
          <w:sz w:val="22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两线：采编线和经营线继续分离，采编线负责新闻判断和报道，经营线负责会员、广告、会议、机构客户和商业合作。</w:t>
      </w:r>
    </w:p>
    <w:p>
      <w:pPr>
        <w:tabs>
          <w:tab w:val="left" w:pos="360"/>
        </w:tabs>
        <w:snapToGrid w:val="1"/>
        <w:spacing w:after="80" w:line="274"/>
        <w:ind w:left="360" w:hanging="360"/>
        <w:rPr/>
      </w:pPr>
      <w:r>
        <w:rPr>
          <w:rFonts w:ascii="Symbol" w:hAnsi="Symbol" w:cs="Symbol"/>
          <w:i w:val="0"/>
          <w:strike w:val="0"/>
          <w:color w:val="000000"/>
          <w:sz w:val="22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一中心：数据与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赋能中心，双重汇报给总编辑和总裁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总经理，业务上接受公信力原则约束。</w:t>
      </w:r>
    </w:p>
    <w:p>
      <w:pPr>
        <w:tabs>
          <w:tab w:val="left" w:pos="360"/>
        </w:tabs>
        <w:snapToGrid w:val="1"/>
        <w:spacing w:after="80" w:line="274"/>
        <w:ind w:left="360" w:hanging="360"/>
        <w:rPr/>
      </w:pPr>
      <w:r>
        <w:rPr>
          <w:rFonts w:ascii="Symbol" w:hAnsi="Symbol" w:cs="Symbol"/>
          <w:i w:val="0"/>
          <w:strike w:val="0"/>
          <w:color w:val="000000"/>
          <w:sz w:val="22"/>
          <w:u w:val="none"/>
        </w:rPr>
        <w:t>·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N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小队：围绕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ESG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、出海、金融数据、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搜索、会员留存等专题成立临时项目小队，项目结束后复盘并沉淀为产品或知识库。</w:t>
      </w:r>
    </w:p>
    <w:tbl>
      <w:tblPr>
        <w:tblStyle w:val="000015"/>
        <w:jc w:val="center"/>
        <w:tblLayout w:type="fixed"/>
      </w:tblPr>
      <w:tblGrid>
        <w:gridCol w:w="2340"/>
        <w:gridCol w:w="2340"/>
        <w:gridCol w:w="2340"/>
        <w:gridCol w:w="2340"/>
      </w:tblGrid>
      <w:tr>
        <w:trPr>
          <w:wBefore/>
          <w:trHeight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层级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角色</w:t>
            </w: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/</w:t>
            </w: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组织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主要职责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关键边界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治理层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公信力委员会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编辑原则、伦理边界、重大争议复核。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不参与日常商业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KPI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采编线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总编辑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/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编委会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/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各报道组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选题、采访、事实核查、编辑把关。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不得接受客户定向选题或审稿。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经营线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总裁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/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经营委员会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/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会员与广告会议团队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订阅、机构客户、广告、会议、智库产品。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不得直接干预新闻报道导向。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中台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数据与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AI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赋能中心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结构化数据、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AI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工具、内容标签、用户洞察、项目管理。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只传递脱敏聚合数据和产品需求。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项目制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内容产品小队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把优质内容转化为专题、简报、数据库、活动和机构产品。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商业人员不进入未公开报道采写链路。</w:t>
            </w:r>
          </w:p>
        </w:tc>
      </w:tr>
    </w:tbl>
    <w:p>
      <w:pPr>
        <w:snapToGrid w:val="1"/>
        <w:spacing w:after="200" w:line="274"/>
        <w:ind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200" w:after="0" w:line="274"/>
        <w:ind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2. 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数据与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AI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赋能中心的人员安排</w:t>
      </w:r>
    </w:p>
    <w:p>
      <w:pPr>
        <w:snapToGrid w:val="1"/>
        <w:spacing w:after="16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建议先采用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15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人左右的最小可行团队，不等于扩大行政层级，而是把原本分散在编辑、技术、产品、运营中的协同工作制度化。</w:t>
      </w:r>
    </w:p>
    <w:tbl>
      <w:tblPr>
        <w:tblStyle w:val="000015"/>
        <w:jc w:val="center"/>
        <w:tblLayout w:type="fixed"/>
      </w:tblPr>
      <w:tblGrid>
        <w:gridCol w:w="2340"/>
        <w:gridCol w:w="2340"/>
        <w:gridCol w:w="2340"/>
        <w:gridCol w:w="2340"/>
      </w:tblGrid>
      <w:tr>
        <w:trPr>
          <w:wBefore/>
          <w:trHeight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岗位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建议人数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来源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职责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中心负责人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1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资深编辑或产品负责人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统筹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AI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、数据、产品和合规边界，向总编辑与总裁双汇报。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编辑知识架构师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3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各核心报道组轮岗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/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兼任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建立选题标签、事实库、专家库、行业词表，参与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AI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标注和审核。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AI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产品经理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2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产品技术部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把编辑需求翻译为工具需求，负责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“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织雀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/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群雁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/Kimi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合作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”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等场景迭代。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数据工程师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/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知识工程师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3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技术或外部招聘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负责内容结构化、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RAG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知识库、权限分级、数据质量。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用户与订阅分析师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2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会员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/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渠道订阅部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输出脱敏聚合用户洞察，如留存、阅读深度、主题偏好和流失风险。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内容产品运营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2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经营侧和编辑侧各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1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把报道沉淀为合规专题、邮件、简报、机构包和会议议题。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合规与编辑伦理专员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1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法务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/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编委会授权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审核商业合作、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AI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输出、数据使用和内容标签。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组织发展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/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培训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HRBP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1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人力资源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设计岗位等级、培训、绩效和跨部门轮岗。</w:t>
            </w:r>
          </w:p>
        </w:tc>
      </w:tr>
    </w:tbl>
    <w:p>
      <w:pPr>
        <w:snapToGrid w:val="1"/>
        <w:spacing w:after="200" w:line="274"/>
        <w:ind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200" w:after="0" w:line="274"/>
        <w:ind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3. 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项目小队运行机制</w:t>
      </w:r>
    </w:p>
    <w:p>
      <w:pPr>
        <w:snapToGrid w:val="1"/>
        <w:spacing w:after="16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每个重点项目采用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“1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名项目编辑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+1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名产品经理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+1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名数据分析师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+1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名会员运营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+1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名商业接口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+1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名合规观察员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的六人小队。以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ESG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频道为例，访谈显示其本身就是跨部门、轻运营和智库牵头的业务形态，适合作为试点。</w:t>
      </w:r>
    </w:p>
    <w:p>
      <w:pPr>
        <w:tabs>
          <w:tab w:val="left" w:pos="360"/>
        </w:tabs>
        <w:snapToGrid w:val="1"/>
        <w:spacing w:after="80" w:line="274"/>
        <w:ind w:left="36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1.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立项：由采编或经营提出需求，进入月度战略对齐会。未通过合规审查的客户需求不能进入选题。</w:t>
      </w:r>
    </w:p>
    <w:p>
      <w:pPr>
        <w:tabs>
          <w:tab w:val="left" w:pos="360"/>
        </w:tabs>
        <w:snapToGrid w:val="1"/>
        <w:spacing w:after="80" w:line="274"/>
        <w:ind w:left="36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2.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生产：采编负责报道判断；数据与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中心提供背景资料、标签和工具；经营只获得已公开或可发布的产品化信息。</w:t>
      </w:r>
    </w:p>
    <w:p>
      <w:pPr>
        <w:tabs>
          <w:tab w:val="left" w:pos="360"/>
        </w:tabs>
        <w:snapToGrid w:val="1"/>
        <w:spacing w:after="80" w:line="274"/>
        <w:ind w:left="36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3.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复盘：项目结束后用用户留存、阅读深度、机构咨询、会议转化、纠错率、合规事件等指标复盘。</w:t>
      </w:r>
    </w:p>
    <w:p>
      <w:pPr>
        <w:tabs>
          <w:tab w:val="left" w:pos="360"/>
        </w:tabs>
        <w:snapToGrid w:val="1"/>
        <w:spacing w:after="80" w:line="274"/>
        <w:ind w:left="36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4.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沉淀：形成专题页、数据库标签、客户白皮书、新闻邮件、会议议题库或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知识库。</w:t>
      </w:r>
    </w:p>
    <w:p>
      <w:pPr>
        <w:pStyle w:val="000003"/>
        <w:snapToGrid w:val="1"/>
        <w:spacing w:before="200" w:after="0" w:line="274"/>
        <w:ind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4. 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薪酬与激励设计</w:t>
      </w:r>
    </w:p>
    <w:p>
      <w:pPr>
        <w:snapToGrid w:val="1"/>
        <w:spacing w:after="16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薪酬原则是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编辑不为客户收入写稿，经营不因短期收入突破防火墙，技术不只为上线而上线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。建议采用岗位工资、绩效奖金、项目奖金和长期学习激励四层结构。</w:t>
      </w:r>
    </w:p>
    <w:tbl>
      <w:tblPr>
        <w:tblStyle w:val="000015"/>
        <w:jc w:val="center"/>
        <w:tblLayout w:type="fixed"/>
      </w:tblPr>
      <w:tblGrid>
        <w:gridCol w:w="1860"/>
        <w:gridCol w:w="1860"/>
        <w:gridCol w:w="1860"/>
        <w:gridCol w:w="1860"/>
        <w:gridCol w:w="1860"/>
      </w:tblGrid>
      <w:tr>
        <w:trPr>
          <w:wBefore/>
          <w:trHeight/>
        </w:trPr>
        <w:tc>
          <w:tcPr>
            <w:tcW w:w="1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团队</w:t>
            </w:r>
          </w:p>
        </w:tc>
        <w:tc>
          <w:tcPr>
            <w:tcW w:w="1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固定薪酬</w:t>
            </w:r>
          </w:p>
        </w:tc>
        <w:tc>
          <w:tcPr>
            <w:tcW w:w="1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绩效奖金</w:t>
            </w:r>
          </w:p>
        </w:tc>
        <w:tc>
          <w:tcPr>
            <w:tcW w:w="1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项目奖金</w:t>
            </w:r>
          </w:p>
        </w:tc>
        <w:tc>
          <w:tcPr>
            <w:tcW w:w="1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红线</w:t>
            </w:r>
          </w:p>
        </w:tc>
      </w:tr>
      <w:tr>
        <w:trPr>
          <w:wBefore/>
          <w:trHeight/>
        </w:trPr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采编团队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70%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20%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：报道质量、事实准确、社会影响、订阅用户阅读深度、知识库贡献。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10%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：参与合规数据产品、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AI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训练反馈和跨部门项目。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不得与具体客户收入、广告投放、赞助金额挂钩。</w:t>
            </w:r>
          </w:p>
        </w:tc>
      </w:tr>
      <w:tr>
        <w:trPr>
          <w:wBefore/>
          <w:trHeight/>
        </w:trPr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经营团队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55%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35%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：订阅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/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机构续费、会议与数据产品收入、客户满意度。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10%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：合规项目共创、用户洞察质量。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未标注商业内容、客户干预采编、绕过合规流程，一票否决。</w:t>
            </w:r>
          </w:p>
        </w:tc>
      </w:tr>
      <w:tr>
        <w:trPr>
          <w:wBefore/>
          <w:trHeight/>
        </w:trPr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数据与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AI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中心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65%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25%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：工具使用率、效率提升、数据质量、模型准确性、权限合规。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10%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：成功支持内容产品或会员增长项目。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AI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输出未经人工审核发布、数据泄露、权限越界，一票否决。</w:t>
            </w:r>
          </w:p>
        </w:tc>
      </w:tr>
      <w:tr>
        <w:trPr>
          <w:wBefore/>
          <w:trHeight/>
        </w:trPr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管理层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60%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25%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：订阅留存、收入结构健康、人才保留、重大纠错率。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15%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：战略项目达成。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公信力事故、重大合规事件扣减或取消。</w:t>
            </w:r>
          </w:p>
        </w:tc>
      </w:tr>
    </w:tbl>
    <w:p>
      <w:pPr>
        <w:snapToGrid w:val="1"/>
        <w:spacing w:after="200" w:line="274"/>
        <w:ind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16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采编绩效建议采用平衡计分卡，避免把编辑直接推向商业化：</w:t>
      </w:r>
    </w:p>
    <w:p>
      <w:pPr>
        <w:tabs>
          <w:tab w:val="left" w:pos="360"/>
        </w:tabs>
        <w:snapToGrid w:val="1"/>
        <w:spacing w:after="80" w:line="274"/>
        <w:ind w:left="360" w:hanging="360"/>
        <w:rPr/>
      </w:pPr>
      <w:r>
        <w:rPr>
          <w:rFonts w:ascii="Symbol" w:hAnsi="Symbol" w:cs="Symbol"/>
          <w:i w:val="0"/>
          <w:strike w:val="0"/>
          <w:color w:val="000000"/>
          <w:sz w:val="22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专业质量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45%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：独家性、事实核查、稿件影响、纠错率、同行评议。</w:t>
      </w:r>
    </w:p>
    <w:p>
      <w:pPr>
        <w:tabs>
          <w:tab w:val="left" w:pos="360"/>
        </w:tabs>
        <w:snapToGrid w:val="1"/>
        <w:spacing w:after="80" w:line="274"/>
        <w:ind w:left="360" w:hanging="360"/>
        <w:rPr/>
      </w:pPr>
      <w:r>
        <w:rPr>
          <w:rFonts w:ascii="Symbol" w:hAnsi="Symbol" w:cs="Symbol"/>
          <w:i w:val="0"/>
          <w:strike w:val="0"/>
          <w:color w:val="000000"/>
          <w:sz w:val="22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读者价值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20%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：订阅用户阅读完成率、收藏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分享、专题留存，不看具体客户。</w:t>
      </w:r>
    </w:p>
    <w:p>
      <w:pPr>
        <w:tabs>
          <w:tab w:val="left" w:pos="360"/>
        </w:tabs>
        <w:snapToGrid w:val="1"/>
        <w:spacing w:after="80" w:line="274"/>
        <w:ind w:left="360" w:hanging="360"/>
        <w:rPr/>
      </w:pPr>
      <w:r>
        <w:rPr>
          <w:rFonts w:ascii="Symbol" w:hAnsi="Symbol" w:cs="Symbol"/>
          <w:i w:val="0"/>
          <w:strike w:val="0"/>
          <w:color w:val="000000"/>
          <w:sz w:val="22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知识资产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20%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：标签完整度、资料库贡献、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训练反馈、专家库维护。</w:t>
      </w:r>
    </w:p>
    <w:p>
      <w:pPr>
        <w:tabs>
          <w:tab w:val="left" w:pos="360"/>
        </w:tabs>
        <w:snapToGrid w:val="1"/>
        <w:spacing w:after="80" w:line="274"/>
        <w:ind w:left="360" w:hanging="360"/>
        <w:rPr/>
      </w:pPr>
      <w:r>
        <w:rPr>
          <w:rFonts w:ascii="Symbol" w:hAnsi="Symbol" w:cs="Symbol"/>
          <w:i w:val="0"/>
          <w:strike w:val="0"/>
          <w:color w:val="000000"/>
          <w:sz w:val="22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协作与合规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15%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：项目复盘参与、流程准时率、商业边界遵守。</w:t>
      </w:r>
    </w:p>
    <w:p>
      <w:pPr>
        <w:snapToGrid w:val="1"/>
        <w:spacing w:after="16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经营绩效则应把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合规收入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放在首位：商业内容必须有标签，机构需求只能通过中台变成脱敏的行业洞察，不能变成对记者的定向指令。</w:t>
      </w:r>
    </w:p>
    <w:p>
      <w:pPr>
        <w:pStyle w:val="000003"/>
        <w:snapToGrid w:val="1"/>
        <w:spacing w:before="200" w:after="0" w:line="274"/>
        <w:ind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5. 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数据流与权限设计</w:t>
      </w:r>
    </w:p>
    <w:tbl>
      <w:tblPr>
        <w:tblStyle w:val="000015"/>
        <w:jc w:val="center"/>
        <w:tblLayout w:type="fixed"/>
      </w:tblPr>
      <w:tblGrid>
        <w:gridCol w:w="2340"/>
        <w:gridCol w:w="2340"/>
        <w:gridCol w:w="2340"/>
        <w:gridCol w:w="2340"/>
      </w:tblGrid>
      <w:tr>
        <w:trPr>
          <w:wBefore/>
          <w:trHeight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信息类型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能否跨部门流动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处理方式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例子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用户聚合数据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可以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脱敏、聚合、月度报告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某类宏观解释稿续订贡献高。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单个用户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/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客户信息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原则上不可以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仅经营侧保存，采编不可见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某企业客户要求报道某议题。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已公开报道元数据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可以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标签化、结构化进入知识库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行业、公司、政策、地域、专家标签。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未公开选题和采访材料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严格限制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仅采编线和授权中台人员可见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调查报道线索、未发表采访。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AI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生成内容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可以使用但须审核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人工复核、来源可追溯、留痕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摘要、标题建议、背景资料。</w:t>
            </w:r>
          </w:p>
        </w:tc>
      </w:tr>
    </w:tbl>
    <w:p>
      <w:pPr>
        <w:snapToGrid w:val="1"/>
        <w:spacing w:after="200" w:line="274"/>
        <w:ind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 </w:t>
      </w:r>
    </w:p>
    <w:p>
      <w:pPr>
        <w:pStyle w:val="000002"/>
        <w:snapToGrid w:val="1"/>
        <w:spacing w:before="480" w:after="0" w:line="274"/>
        <w:ind/>
        <w:jc w:val="left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2"/>
          <w:u w:val="none"/>
        </w:rPr>
        <w:t>四、实施路径与预期效果</w:t>
      </w:r>
    </w:p>
    <w:tbl>
      <w:tblPr>
        <w:tblStyle w:val="000015"/>
        <w:jc w:val="center"/>
        <w:tblLayout w:type="fixed"/>
      </w:tblPr>
      <w:tblGrid>
        <w:gridCol w:w="2340"/>
        <w:gridCol w:w="2340"/>
        <w:gridCol w:w="2340"/>
        <w:gridCol w:w="2340"/>
      </w:tblGrid>
      <w:tr>
        <w:trPr>
          <w:wBefore/>
          <w:trHeight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阶段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时间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动作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9"/>
                <w:u w:val="none"/>
              </w:rPr>
              <w:t>验收指标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试点期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0-3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个月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以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ESG/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出海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/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金融数据三类项目试点六人小队；建立用户洞察模板和内容标签标准。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完成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3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个项目复盘；内容标签完整率达到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80%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；无商业边界事故。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成型期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3-6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个月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正式设立数据与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AI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赋能中心；上线权限分级和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AI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审核流程；开始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HRBP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培训。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AI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工具周活编辑覆盖率达到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50%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；背景资料搜集时间下降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20%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；培训覆盖关键岗位。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扩展期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6-12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个月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把项目制扩展到机构订阅、会议、数据产品和会员邮件；引入项目奖金池。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形成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4-6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个可复用产品包；机构订阅和会员留存指标改善；合规记录可追溯。</w:t>
            </w:r>
          </w:p>
        </w:tc>
      </w:tr>
      <w:tr>
        <w:trPr>
          <w:wBefore/>
          <w:trHeight/>
        </w:trPr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固化期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12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个月后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将岗位等级、轮岗、绩效和数据治理写入制度；公信力委员会定期抽查。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人员流失率下降；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19"/>
                <w:u w:val="none"/>
              </w:rPr>
              <w:t>AI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9"/>
                <w:u w:val="none"/>
              </w:rPr>
              <w:t>与数据项目进入年度预算；重大内容争议有复盘机制。</w:t>
            </w:r>
          </w:p>
        </w:tc>
      </w:tr>
    </w:tbl>
    <w:p>
      <w:pPr>
        <w:snapToGrid w:val="1"/>
        <w:spacing w:after="200" w:line="274"/>
        <w:ind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16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预期效果有三类：第一，保护公信力。通过公信力委员会、合规专员和负面清单，明确客户与采编之间的不可逾越边界。第二，提高效率。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承担资料检索、标签、摘要、翻译和知识关联等辅助工作，记者把更多时间投入采访、核实和解释。第三，形成增长。优质报道不只停留为单篇内容，而能沉淀为会员产品、机构订阅、会议议题、数据产品和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搜索可信来源。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2"/>
        <w:numPr>
          <w:ilvl w:val="0"/>
          <w:numId w:val="3"/>
        </w:numPr>
        <w:pBdr/>
        <w:rPr/>
      </w:pPr>
      <w:r>
        <w:rPr/>
        <w:t>总结</w:t>
      </w:r>
    </w:p>
    <w:p>
      <w:pPr>
        <w:snapToGrid w:val="1"/>
        <w:spacing w:after="16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财新的核心竞争力是新闻专业主义和高信任用户群。访谈与公开资料共同说明，强防火墙是财新的优势，但在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和数据驱动阶段，单纯隔离已经不足以支撑组织增长。真正的管理问题是：人没有被重新组织起来，激励没有被重新对齐，数据没有被合规地流动。</w:t>
      </w:r>
    </w:p>
    <w:p>
      <w:pPr>
        <w:snapToGrid w:val="1"/>
        <w:spacing w:after="16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因此，最适合财新的方案不是平台化、流量化或弱化编辑独立，而是在防火墙外增加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可协同的人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：数据与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赋能中心、项目小队、合规专员、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HRBP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和跨部门绩效奖金。这样既能守住编辑独立，又能把采编、技术、产品和经营能力整合成新的组织能力。</w:t>
      </w:r>
    </w:p>
    <w:p>
      <w:pPr>
        <w:pStyle w:val="000001"/>
        <w:pBdr/>
        <w:ind w:left="462"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附图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6173470" cy="443026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 flipH="0" flipV="0">
                      <a:off x="0" y="0"/>
                      <a:ext cx="6173470" cy="44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1.财新网：《财新付费订阅用户突破百万 数字订阅稳定增长》，2023-06-12，https://www.caixin.com/2023-06-12/102064730.html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2.财新网：《11月25日会员日活动》，2024-11-07，https://other.caixin.com/2024-11-07/102254329.html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3.财新网：《财新传媒与Kimi达成合作 助力AI搜索信息品质升级》，2025-04-28，https://www.caixin.com/2025-04-28/102314058.html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4.财新网：公信力委员会，https://corp.caixin.com/board_of_trustees/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5.Caixin Global: About Us，https://www.caixinglobal.com/about-caixin/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6.财新网：加入我们，https://corp.caixin.com/joinus/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7.国家新闻出版署：《2024年新闻出版统计公报》，https://www.nppa.gov.cn/xxgk/fdzdgknr/tjxx/202512/P020251218382424228218.pdf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8.中国服务贸易指南网：《2024年中国广告业规模稳居世界第二》，https://tradeinservices.mofcom.gov.cn/article/yanjiu/hangyezk/202506/176676.html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9.中关村互动营销实验室等：《2024中国互联网广告数据报告》，https://idea-cp.cnfin.com/ice/2025/01/07/3ce431e48c96411591d55c283b657a33.pdf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10.Reuters Institute: Digital News Report 2025，https://www.odg.it/wp-content/uploads/2025/06/REUTERS-Digital_News-Report_2025_compressed.pdf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11.Reuters Institute: Journalism, Media, and Technology Trends and Predictions 2026，https://reutersinstitute.politics.ox.ac.uk/journalism-media-and-technology-trends-and-predictions-2026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</w:p>
    <w:p>
      <w:pPr>
        <w:pStyle w:val="000001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chineseCountingThousand"/>
      <w:lvlText w:val="%4、"/>
      <w:lvlJc w:val="left"/>
      <w:pPr>
        <w:ind w:left="178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/>
    </w:lvl>
    <w:lvl w:ilvl="1">
      <w:start w:val="1"/>
      <w:numFmt w:val="decimal"/>
      <w:lvlText w:val="%2、"/>
      <w:lvlJc w:val="left"/>
      <w:pPr>
        <w:ind w:left="77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</w:abstractNum>
  <w:abstractNum w:abstractNumId="1">
    <w:lvl w:ilvl="5">
      <w:start w:val="1"/>
      <w:numFmt w:val="lowerLetter"/>
      <w:lvlText w:val="%6)"/>
      <w:lvlJc w:val="left"/>
      <w:pPr>
        <w:ind w:left="2998" w:hanging="336"/>
      </w:pPr>
    </w:lvl>
    <w:lvl w:ilvl="6">
      <w:start w:val="1"/>
      <w:numFmt w:val="chineseCountingThousand"/>
      <w:lvlText w:val="%7、"/>
      <w:lvlJc w:val="left"/>
      <w:pPr>
        <w:ind w:left="3564" w:hanging="462"/>
      </w:pPr>
    </w:lvl>
    <w:lvl w:ilvl="1">
      <w:start w:val="1"/>
      <w:numFmt w:val="decimal"/>
      <w:lvlText w:val="%2、"/>
      <w:lvlJc w:val="left"/>
      <w:pPr>
        <w:ind w:left="1238" w:hanging="336"/>
      </w:pPr>
    </w:lvl>
    <w:lvl w:ilvl="7">
      <w:start w:val="1"/>
      <w:numFmt w:val="decimal"/>
      <w:lvlText w:val="%8、"/>
      <w:lvlJc w:val="left"/>
      <w:pPr>
        <w:ind w:left="3878" w:hanging="336"/>
      </w:pPr>
    </w:lvl>
    <w:lvl w:ilvl="0">
      <w:start w:val="5"/>
      <w:numFmt w:val="chineseCountingThousand"/>
      <w:lvlText w:val="%1、"/>
      <w:lvlJc w:val="left"/>
      <w:pPr>
        <w:ind w:left="924" w:hanging="462"/>
      </w:pPr>
      <w:rPr/>
    </w:lvl>
    <w:lvl w:ilvl="4">
      <w:start w:val="1"/>
      <w:numFmt w:val="decimal"/>
      <w:lvlText w:val="%5、"/>
      <w:lvlJc w:val="left"/>
      <w:pPr>
        <w:ind w:left="2558" w:hanging="336"/>
      </w:pPr>
    </w:lvl>
    <w:lvl w:ilvl="3">
      <w:start w:val="1"/>
      <w:numFmt w:val="chineseCountingThousand"/>
      <w:lvlText w:val="%4、"/>
      <w:lvlJc w:val="left"/>
      <w:pPr>
        <w:ind w:left="2244" w:hanging="462"/>
      </w:pPr>
    </w:lvl>
    <w:lvl w:ilvl="2">
      <w:start w:val="1"/>
      <w:numFmt w:val="lowerLetter"/>
      <w:lvlText w:val="%3)"/>
      <w:lvlJc w:val="left"/>
      <w:pPr>
        <w:ind w:left="1678" w:hanging="336"/>
      </w:pPr>
    </w:lvl>
    <w:lvl w:ilvl="8">
      <w:start w:val="1"/>
      <w:numFmt w:val="lowerLetter"/>
      <w:lvlText w:val="%9)"/>
      <w:lvlJc w:val="left"/>
      <w:pPr>
        <w:ind w:left="4318" w:hanging="336"/>
      </w:pPr>
    </w:lvl>
  </w:abstractNum>
  <w:abstractNum w:abstractNumId="2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num w:numId="3">
    <w:abstractNumId w:val="1"/>
  </w:num>
  <w:num w:numId="2">
    <w:abstractNumId w:val="2"/>
  </w: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Grid Accent 3" w:uiPriority="62"/>
    <w:lsdException w:name="Colorful List Accent 4" w:uiPriority="72"/>
    <w:lsdException w:name="Table Grid 1" w:semiHidden="1" w:unhideWhenUsed="1"/>
    <w:lsdException w:name="Medium Grid 2 Accent 6" w:uiPriority="68"/>
    <w:lsdException w:name="Light Shading Accent 3" w:uiPriority="60"/>
    <w:lsdException w:name="List Table 4 Accent 5" w:uiPriority="49"/>
    <w:lsdException w:name="TOC Heading" w:uiPriority="39" w:semiHidden="1" w:unhideWhenUsed="1" w:qFormat="1"/>
    <w:lsdException w:name="List Table 6 Colorful" w:uiPriority="51"/>
    <w:lsdException w:name="List Table 7 Colorful Accent 3" w:uiPriority="52"/>
    <w:lsdException w:name="Light Grid Accent 1" w:uiPriority="62"/>
    <w:lsdException w:name="List Table 2" w:uiPriority="47"/>
    <w:lsdException w:name="Grid Table 1 Light Accent 5" w:uiPriority="46"/>
    <w:lsdException w:name="toc 6" w:uiPriority="99"/>
    <w:lsdException w:name="List Table 1 Light Accent 4" w:uiPriority="46"/>
    <w:lsdException w:name="List Table 6 Colorful Accent 2" w:uiPriority="51"/>
    <w:lsdException w:name="List Table 5 Dark Accent 3" w:uiPriority="50"/>
    <w:lsdException w:name="List Table 2 Accent 1" w:uiPriority="47"/>
    <w:lsdException w:name="Medium List 2 Accent 2" w:uiPriority="66"/>
    <w:lsdException w:name="List Table 6 Colorful Accent 5" w:uiPriority="51"/>
    <w:lsdException w:name="Medium Grid 1 Accent 5" w:uiPriority="67"/>
    <w:lsdException w:name="heading 5" w:qFormat="1"/>
    <w:lsdException w:name="Grid Table 7 Colorful Accent 2" w:uiPriority="52"/>
    <w:lsdException w:name="Grid Table 3 Accent 5" w:uiPriority="48"/>
    <w:lsdException w:name="List Table 2 Accent 2" w:uiPriority="47"/>
    <w:lsdException w:name="Table Classic 2" w:semiHidden="1" w:unhideWhenUsed="1"/>
    <w:lsdException w:name="Light Grid Accent 2" w:uiPriority="62"/>
    <w:lsdException w:name="Colorful List Accent 2" w:uiPriority="72"/>
    <w:lsdException w:name="Table 3D effects 1" w:semiHidden="1" w:unhideWhenUsed="1"/>
    <w:lsdException w:name="Table Subtle 1" w:semiHidden="1" w:unhideWhenUsed="1"/>
    <w:lsdException w:name="Medium Grid 3" w:uiPriority="69"/>
    <w:lsdException w:name="Colorful Grid Accent 2" w:uiPriority="73"/>
    <w:lsdException w:name="Grid Table 7 Colorful Accent 3" w:uiPriority="52"/>
    <w:lsdException w:name="Colorful Shading Accent 3" w:uiPriority="71"/>
    <w:lsdException w:name="Emphasis" w:qFormat="1"/>
    <w:lsdException w:name="Medium List 1 Accent 2" w:uiPriority="65"/>
    <w:lsdException w:name="Grid Table 4 Accent 1" w:uiPriority="49"/>
    <w:lsdException w:name="Subtitle" w:qFormat="1"/>
    <w:lsdException w:name="Grid Table 5 Dark" w:uiPriority="50"/>
    <w:lsdException w:name="List Table 1 Light Accent 1" w:uiPriority="46"/>
    <w:lsdException w:name="Table List 7" w:semiHidden="1" w:unhideWhenUsed="1"/>
    <w:lsdException w:name="Light List Accent 3" w:uiPriority="61"/>
    <w:lsdException w:name="Medium Grid 3 Accent 5" w:uiPriority="69"/>
    <w:lsdException w:name="List Table 5 Dark Accent 4" w:uiPriority="50"/>
    <w:lsdException w:name="Grid Table 2 Accent 5" w:uiPriority="47"/>
    <w:lsdException w:name="List Table 3 Accent 6" w:uiPriority="48"/>
    <w:lsdException w:name="Colorful List" w:uiPriority="72"/>
    <w:lsdException w:name="Table Grid 8" w:semiHidden="1" w:unhideWhenUsed="1"/>
    <w:lsdException w:name="Table Colorful 2" w:semiHidden="1" w:unhideWhenUsed="1"/>
    <w:lsdException w:name="Plain Table 4" w:uiPriority="44"/>
    <w:lsdException w:name="Grid Table 3 Accent 6" w:uiPriority="48"/>
    <w:lsdException w:name="Table Web 3" w:semiHidden="1" w:unhideWhenUsed="1"/>
    <w:lsdException w:name="HTML Acronym" w:uiPriority="99"/>
    <w:lsdException w:name="Light Shading Accent 6" w:uiPriority="60"/>
    <w:lsdException w:name="Grid Table 6 Colorful" w:uiPriority="51"/>
    <w:lsdException w:name="Table List 8" w:semiHidden="1" w:unhideWhenUsed="1"/>
    <w:lsdException w:name="Medium Shading 1" w:uiPriority="63"/>
    <w:lsdException w:name="Medium Grid 1 Accent 1" w:uiPriority="67"/>
    <w:lsdException w:name="Grid Table 6 Colorful Accent 5" w:uiPriority="51"/>
    <w:lsdException w:name="HTML Address" w:uiPriority="99"/>
    <w:lsdException w:name="HTML Code" w:uiPriority="99"/>
    <w:lsdException w:name="List Table 4 Accent 1" w:uiPriority="49"/>
    <w:lsdException w:name="List Table 6 Colorful Accent 4" w:uiPriority="51"/>
    <w:lsdException w:name="Dark List Accent 2" w:uiPriority="70"/>
    <w:lsdException w:name="Table Subtle 2" w:semiHidden="1" w:unhideWhenUsed="1"/>
    <w:lsdException w:name="Medium Grid 2 Accent 5" w:uiPriority="68"/>
    <w:lsdException w:name="Grid Table 6 Colorful Accent 3" w:uiPriority="51"/>
    <w:lsdException w:name="Grid Table 7 Colorful Accent 5" w:uiPriority="52"/>
    <w:lsdException w:name="Medium List 2 Accent 4" w:uiPriority="66"/>
    <w:lsdException w:name="Mention" w:uiPriority="99" w:semiHidden="1" w:unhideWhenUsed="1"/>
    <w:lsdException w:name="Medium Grid 1 Accent 3" w:uiPriority="67"/>
    <w:lsdException w:name="Medium Shading 2 Accent 4" w:uiPriority="64"/>
    <w:lsdException w:name="List Table 7 Colorful Accent 6" w:uiPriority="52"/>
    <w:lsdException w:name="List Paragraph" w:uiPriority="99"/>
    <w:lsdException w:name="Table Grid 3" w:semiHidden="1" w:unhideWhenUsed="1"/>
    <w:lsdException w:name="Normal" w:qFormat="1"/>
    <w:lsdException w:name="Table Columns 5" w:semiHidden="1" w:unhideWhenUsed="1"/>
    <w:lsdException w:name="Table List 2" w:semiHidden="1" w:unhideWhenUsed="1"/>
    <w:lsdException w:name="Medium Shading 1 Accent 5" w:uiPriority="63"/>
    <w:lsdException w:name="Unresolved Mention" w:uiPriority="99" w:semiHidden="1" w:unhideWhenUsed="1"/>
    <w:lsdException w:name="Colorful List Accent 6" w:uiPriority="72"/>
    <w:lsdException w:name="Grid Table 2 Accent 6" w:uiPriority="47"/>
    <w:lsdException w:name="Table Elegant" w:semiHidden="1" w:unhideWhenUsed="1"/>
    <w:lsdException w:name="HTML Variable" w:uiPriority="99"/>
    <w:lsdException w:name="footnote reference" w:uiPriority="99" w:semiHidden="1" w:unhideWhenUsed="1"/>
    <w:lsdException w:name="Grid Table 3 Accent 4" w:uiPriority="48"/>
    <w:lsdException w:name="Table 3D effects 3" w:semiHidden="1" w:unhideWhenUsed="1"/>
    <w:lsdException w:name="List Table 3 Accent 3" w:uiPriority="48"/>
    <w:lsdException w:name="Grid Table 1 Light Accent 2" w:uiPriority="46"/>
    <w:lsdException w:name="Medium Shading 2" w:uiPriority="64"/>
    <w:lsdException w:name="Book Title" w:uiPriority="33" w:qFormat="1"/>
    <w:lsdException w:name="List Table 4 Accent 3" w:uiPriority="49"/>
    <w:lsdException w:name="Outline List 3" w:uiPriority="99" w:semiHidden="1" w:unhideWhenUsed="1"/>
    <w:lsdException w:name="toc 9" w:uiPriority="99"/>
    <w:lsdException w:name="Colorful Shading Accent 6" w:uiPriority="71"/>
    <w:lsdException w:name="Medium Grid 1 Accent 4" w:uiPriority="67"/>
    <w:lsdException w:name="Light Shading" w:uiPriority="60"/>
    <w:lsdException w:name="Colorful Grid Accent 3" w:uiPriority="73"/>
    <w:lsdException w:name="Medium Shading 1 Accent 3" w:uiPriority="63"/>
    <w:lsdException w:name="Medium List 2 Accent 5" w:uiPriority="66"/>
    <w:lsdException w:name="Grid Table 6 Colorful Accent 4" w:uiPriority="51"/>
    <w:lsdException w:name="Intense Emphasis" w:uiPriority="21" w:qFormat="1"/>
    <w:lsdException w:name="List Table 5 Dark Accent 6" w:uiPriority="50"/>
    <w:lsdException w:name="Colorful Grid" w:uiPriority="73"/>
    <w:lsdException w:name="List Table 7 Colorful Accent 5" w:uiPriority="52"/>
    <w:lsdException w:name="toc 7" w:uiPriority="99"/>
    <w:lsdException w:name="Colorful Shading Accent 5" w:uiPriority="71"/>
    <w:lsdException w:name="Grid Table Light" w:uiPriority="40"/>
    <w:lsdException w:name="Medium Grid 3 Accent 6" w:uiPriority="69"/>
    <w:lsdException w:name="List Table 3 Accent 1" w:uiPriority="48"/>
    <w:lsdException w:name="List Table 1 Light Accent 6" w:uiPriority="46"/>
    <w:lsdException w:name="Light Shading Accent 2" w:uiPriority="60"/>
    <w:lsdException w:name="Table Contemporary" w:semiHidden="1" w:unhideWhenUsed="1"/>
    <w:lsdException w:name="Dark List Accent 1" w:uiPriority="70"/>
    <w:lsdException w:name="Light List" w:uiPriority="61"/>
    <w:lsdException w:name="Table Theme" w:semiHidden="1" w:unhideWhenUsed="1"/>
    <w:lsdException w:name="Colorful Grid Accent 5" w:uiPriority="73"/>
    <w:lsdException w:name="Table List 3" w:semiHidden="1" w:unhideWhenUsed="1"/>
    <w:lsdException w:name="Grid Table 7 Colorful Accent 1" w:uiPriority="52"/>
    <w:lsdException w:name="Light Grid Accent 5" w:uiPriority="62"/>
    <w:lsdException w:name="heading 7" w:unhideWhenUsed="1" w:qFormat="1"/>
    <w:lsdException w:name="Plain Table 3" w:uiPriority="43"/>
    <w:lsdException w:name="Grid Table 6 Colorful Accent 2" w:uiPriority="51"/>
    <w:lsdException w:name="Table List 1" w:semiHidden="1" w:unhideWhenUsed="1"/>
    <w:lsdException w:name="Grid Table 5 Dark Accent 6" w:uiPriority="50"/>
    <w:lsdException w:name="Intense Reference" w:uiPriority="32" w:qFormat="1"/>
    <w:lsdException w:name="Grid Table 2 Accent 2" w:uiPriority="47"/>
    <w:lsdException w:name="heading 4" w:qFormat="1"/>
    <w:lsdException w:name="HTML Top of Form" w:uiPriority="99" w:semiHidden="1" w:unhideWhenUsed="1"/>
    <w:lsdException w:name="Grid Table 1 Light Accent 4" w:uiPriority="46"/>
    <w:lsdException w:name="Medium Shading 1 Accent 2" w:uiPriority="63"/>
    <w:lsdException w:name="Revision" w:uiPriority="99" w:semiHidden="1"/>
    <w:lsdException w:name="Grid Table 1 Light Accent 6" w:uiPriority="46"/>
    <w:lsdException w:name="Colorful Grid Accent 4" w:uiPriority="73"/>
    <w:lsdException w:name="Grid Table 3" w:uiPriority="48"/>
    <w:lsdException w:name="Table 3D effects 2" w:semiHidden="1" w:unhideWhenUsed="1"/>
    <w:lsdException w:name="List Table 6 Colorful Accent 3" w:uiPriority="51"/>
    <w:lsdException w:name="toc 2" w:uiPriority="99"/>
    <w:lsdException w:name="Medium Grid 3 Accent 4" w:uiPriority="69"/>
    <w:lsdException w:name="Medium List 2 Accent 6" w:uiPriority="66"/>
    <w:lsdException w:name="Light List Accent 4" w:uiPriority="61"/>
    <w:lsdException w:name="Table Simple 3" w:semiHidden="1" w:unhideWhenUsed="1"/>
    <w:lsdException w:name="Colorful Shading" w:uiPriority="71"/>
    <w:lsdException w:name="Grid Table 2" w:uiPriority="47"/>
    <w:lsdException w:name="Table Columns 4" w:semiHidden="1" w:unhideWhenUsed="1"/>
    <w:lsdException w:name="List Table 5 Dark Accent 2" w:uiPriority="50"/>
    <w:lsdException w:name="Medium List 1 Accent 1" w:uiPriority="65"/>
    <w:lsdException w:name="heading 9" w:unhideWhenUsed="1" w:qFormat="1"/>
    <w:lsdException w:name="Grid Table 7 Colorful Accent 6" w:uiPriority="52"/>
    <w:lsdException w:name="Plain Table 5" w:uiPriority="45"/>
    <w:lsdException w:name="Medium Grid 2 Accent 4" w:uiPriority="68"/>
    <w:lsdException w:name="Light List Accent 6" w:uiPriority="61"/>
    <w:lsdException w:name="List Table 5 Dark Accent 5" w:uiPriority="50"/>
    <w:lsdException w:name="Subtle Reference" w:uiPriority="31" w:qFormat="1"/>
    <w:lsdException w:name="Grid Table 2 Accent 3" w:uiPriority="47"/>
    <w:lsdException w:name="List Table 7 Colorful Accent 2" w:uiPriority="52"/>
    <w:lsdException w:name="Medium Shading 2 Accent 5" w:uiPriority="64"/>
    <w:lsdException w:name="Table Web 2" w:semiHidden="1" w:unhideWhenUsed="1"/>
    <w:lsdException w:name="Dark List Accent 3" w:uiPriority="70"/>
    <w:lsdException w:name="Medium Grid 2 Accent 2" w:uiPriority="68"/>
    <w:lsdException w:name="Medium Grid 2 Accent 1" w:uiPriority="68"/>
    <w:lsdException w:name="Grid Table 5 Dark Accent 3" w:uiPriority="50"/>
    <w:lsdException w:name="Medium Shading 2 Accent 3" w:uiPriority="64"/>
    <w:lsdException w:name="Grid Table 3 Accent 2" w:uiPriority="48"/>
    <w:lsdException w:name="List Table 1 Light Accent 2" w:uiPriority="46"/>
    <w:lsdException w:name="Grid Table 4 Accent 4" w:uiPriority="49"/>
    <w:lsdException w:name="Light Grid Accent 6" w:uiPriority="62"/>
    <w:lsdException w:name="Grid Table 4 Accent 6" w:uiPriority="49"/>
    <w:lsdException w:name="Light Grid" w:uiPriority="62"/>
    <w:lsdException w:name="Title" w:qFormat="1"/>
    <w:lsdException w:name="Medium List 1 Accent 6" w:uiPriority="65"/>
    <w:lsdException w:name="Dark List" w:uiPriority="70"/>
    <w:lsdException w:name="Grid Table 4 Accent 5" w:uiPriority="49"/>
    <w:lsdException w:name="toc 3" w:uiPriority="99"/>
    <w:lsdException w:name="List Table 5 Dark Accent 1" w:uiPriority="50"/>
    <w:lsdException w:name="List Table 2 Accent 5" w:uiPriority="47"/>
    <w:lsdException w:name="toc 1" w:uiPriority="99"/>
    <w:lsdException w:name="toc 5" w:uiPriority="99"/>
    <w:lsdException w:name="Light List Accent 2" w:uiPriority="61"/>
    <w:lsdException w:name="Medium List 2 Accent 1" w:uiPriority="66"/>
    <w:lsdException w:name="List Table 2 Accent 6" w:uiPriority="47"/>
    <w:lsdException w:name="Grid Table 4 Accent 3" w:uiPriority="49"/>
    <w:lsdException w:name="List Table 5 Dark" w:uiPriority="50"/>
    <w:lsdException w:name="Grid Table 1 Light Accent 3" w:uiPriority="46"/>
    <w:lsdException w:name="Colorful List Accent 1" w:uiPriority="72"/>
    <w:lsdException w:name="Grid Table 7 Colorful" w:uiPriority="52"/>
    <w:lsdException w:name="Quote" w:uiPriority="99"/>
    <w:lsdException w:name="Outline List 1" w:uiPriority="99" w:semiHidden="1" w:unhideWhenUsed="1"/>
    <w:lsdException w:name="Table Columns 1" w:semiHidden="1" w:unhideWhenUsed="1"/>
    <w:lsdException w:name="Light Shading Accent 1" w:uiPriority="60"/>
    <w:lsdException w:name="Grid Table 5 Dark Accent 2" w:uiPriority="50"/>
    <w:lsdException w:name="Medium List 2 Accent 3" w:uiPriority="66"/>
    <w:lsdException w:name="footnote text" w:uiPriority="99" w:semiHidden="1" w:unhideWhenUsed="1"/>
    <w:lsdException w:name="Table Columns 2" w:semiHidden="1" w:unhideWhenUsed="1"/>
    <w:lsdException w:name="List Table 7 Colorful Accent 1" w:uiPriority="52"/>
    <w:lsdException w:name="Table Grid 2" w:semiHidden="1" w:unhideWhenUsed="1"/>
    <w:lsdException w:name="No List" w:uiPriority="99" w:semiHidden="1" w:unhideWhenUsed="1"/>
    <w:lsdException w:name="Table Colorful 3" w:semiHidden="1" w:unhideWhenUsed="1"/>
    <w:lsdException w:name="toc 4" w:uiPriority="99"/>
    <w:lsdException w:name="Dark List Accent 4" w:uiPriority="70"/>
    <w:lsdException w:name="Table List 6" w:semiHidden="1" w:unhideWhenUsed="1"/>
    <w:lsdException w:name="List Table 2 Accent 4" w:uiPriority="47"/>
    <w:lsdException w:name="Grid Table 7 Colorful Accent 4" w:uiPriority="52"/>
    <w:lsdException w:name="Subtle Emphasis" w:uiPriority="19" w:qFormat="1"/>
    <w:lsdException w:name="Colorful Shading Accent 1" w:uiPriority="71"/>
    <w:lsdException w:name="Medium Shading 1 Accent 4" w:uiPriority="63"/>
    <w:lsdException w:name="toc 8" w:uiPriority="99"/>
    <w:lsdException w:name="No Spacing" w:uiPriority="99"/>
    <w:lsdException w:name="Table Classic 3" w:semiHidden="1" w:unhideWhenUsed="1"/>
    <w:lsdException w:name="Placeholder Text" w:uiPriority="99" w:semiHidden="1"/>
    <w:lsdException w:name="List Table 4" w:uiPriority="49"/>
    <w:lsdException w:name="heading 2" w:qFormat="1"/>
    <w:lsdException w:name="HTML Sample" w:uiPriority="99"/>
    <w:lsdException w:name="Grid Table 1 Light" w:uiPriority="46"/>
    <w:lsdException w:name="Medium Grid 2 Accent 3" w:uiPriority="68"/>
    <w:lsdException w:name="List Table 4 Accent 4" w:uiPriority="49"/>
    <w:lsdException w:name="List Table 2 Accent 3" w:uiPriority="47"/>
    <w:lsdException w:name="Grid Table 1 Light Accent 1" w:uiPriority="46"/>
    <w:lsdException w:name="Table Grid" w:qFormat="1"/>
    <w:lsdException w:name="Default Paragraph Font" w:uiPriority="1" w:semiHidden="1" w:unhideWhenUsed="1"/>
    <w:lsdException w:name="caption" w:semiHidden="1" w:unhideWhenUsed="1" w:qFormat="1"/>
    <w:lsdException w:name="Medium Shading 2 Accent 1" w:uiPriority="64"/>
    <w:lsdException w:name="Table List 5" w:semiHidden="1" w:unhideWhenUsed="1"/>
    <w:lsdException w:name="Table Professional" w:semiHidden="1" w:unhideWhenUsed="1"/>
    <w:lsdException w:name="Grid Table 5 Dark Accent 4" w:uiPriority="50"/>
    <w:lsdException w:name="List Table 7 Colorful Accent 4" w:uiPriority="52"/>
    <w:lsdException w:name="Colorful Shading Accent 2" w:uiPriority="71"/>
    <w:lsdException w:name="Medium Grid 3 Accent 1" w:uiPriority="69"/>
    <w:lsdException w:name="List Table 3 Accent 4" w:uiPriority="48"/>
    <w:lsdException w:name="Grid Table 3 Accent 3" w:uiPriority="48"/>
    <w:lsdException w:name="Grid Table 6 Colorful Accent 1" w:uiPriority="51"/>
    <w:lsdException w:name="Medium Shading 2 Accent 6" w:uiPriority="64"/>
    <w:lsdException w:name="heading 6" w:qFormat="1"/>
    <w:lsdException w:name="Medium Grid 1 Accent 2" w:uiPriority="67"/>
    <w:lsdException w:name="List Table 1 Light Accent 3" w:uiPriority="46"/>
    <w:lsdException w:name="Medium List 1 Accent 5" w:uiPriority="65"/>
    <w:lsdException w:name="Colorful List Accent 5" w:uiPriority="72"/>
    <w:lsdException w:name="HTML Typewriter" w:uiPriority="99"/>
    <w:lsdException w:name="HTML Definition" w:uiPriority="99"/>
    <w:lsdException w:name="List Table 1 Light" w:uiPriority="46"/>
    <w:lsdException w:name="Light Shading Accent 4" w:uiPriority="60"/>
    <w:lsdException w:name="Medium List 1" w:uiPriority="65"/>
    <w:lsdException w:name="Table Grid 5" w:semiHidden="1" w:unhideWhenUsed="1"/>
    <w:lsdException w:name="List Table 7 Colorful" w:uiPriority="52"/>
    <w:lsdException w:name="List Table 3" w:uiPriority="48"/>
    <w:lsdException w:name="Table List 4" w:semiHidden="1" w:unhideWhenUsed="1"/>
    <w:lsdException w:name="Medium Shading 1 Accent 1" w:uiPriority="63"/>
    <w:lsdException w:name="Grid Table 5 Dark Accent 5" w:uiPriority="50"/>
    <w:lsdException w:name="Medium Grid 3 Accent 2" w:uiPriority="69"/>
    <w:lsdException w:name="HTML Keyboard" w:uiPriority="99"/>
    <w:lsdException w:name="Medium List 2" w:uiPriority="66"/>
    <w:lsdException w:name="Light List Accent 5" w:uiPriority="61"/>
    <w:lsdException w:name="HTML Preformatted" w:uiPriority="99"/>
    <w:lsdException w:name="Table Web 1" w:semiHidden="1" w:unhideWhenUsed="1"/>
    <w:lsdException w:name="heading 1" w:qFormat="1"/>
    <w:lsdException w:name="Table Columns 3" w:semiHidden="1" w:unhideWhenUsed="1"/>
    <w:lsdException w:name="Table Simple 2" w:semiHidden="1" w:unhideWhenUsed="1"/>
    <w:lsdException w:name="Smart Link" w:uiPriority="99" w:semiHidden="1" w:unhideWhenUsed="1"/>
    <w:lsdException w:name="Grid Table 2 Accent 4" w:uiPriority="47"/>
    <w:lsdException w:name="Intense Quote" w:uiPriority="99"/>
    <w:lsdException w:name="Normal Table" w:uiPriority="99" w:semiHidden="1" w:unhideWhenUsed="1"/>
    <w:lsdException w:name="Dark List Accent 6" w:uiPriority="70"/>
    <w:lsdException w:name="Plain Table 2" w:uiPriority="42"/>
    <w:lsdException w:name="Light Grid Accent 4" w:uiPriority="62"/>
    <w:lsdException w:name="Grid Table 3 Accent 1" w:uiPriority="48"/>
    <w:lsdException w:name="Grid Table 4" w:uiPriority="49"/>
    <w:lsdException w:name="Bibliography" w:uiPriority="37" w:semiHidden="1" w:unhideWhenUsed="1"/>
    <w:lsdException w:name="Table Classic 4" w:semiHidden="1" w:unhideWhenUsed="1"/>
    <w:lsdException w:name="heading 3" w:qFormat="1"/>
    <w:lsdException w:name="Medium Shading 2 Accent 2" w:uiPriority="64"/>
    <w:lsdException w:name="heading 8" w:unhideWhenUsed="1" w:qFormat="1"/>
    <w:lsdException w:name="Table Grid 6" w:semiHidden="1" w:unhideWhenUsed="1"/>
    <w:lsdException w:name="Grid Table 2 Accent 1" w:uiPriority="47"/>
    <w:lsdException w:name="Table Classic 1" w:semiHidden="1" w:unhideWhenUsed="1"/>
    <w:lsdException w:name="List Table 3 Accent 2" w:uiPriority="48"/>
    <w:lsdException w:name="List Table 4 Accent 6" w:uiPriority="49"/>
    <w:lsdException w:name="List Table 6 Colorful Accent 1" w:uiPriority="51"/>
    <w:lsdException w:name="Medium Shading 1 Accent 6" w:uiPriority="63"/>
    <w:lsdException w:name="Grid Table 5 Dark Accent 1" w:uiPriority="50"/>
    <w:lsdException w:name="Colorful Shading Accent 4" w:uiPriority="71"/>
    <w:lsdException w:name="Table Colorful 1" w:semiHidden="1" w:unhideWhenUsed="1"/>
    <w:lsdException w:name="Colorful List Accent 3" w:uiPriority="72"/>
    <w:lsdException w:name="List Table 4 Accent 2" w:uiPriority="49"/>
    <w:lsdException w:name="List Table 6 Colorful Accent 6" w:uiPriority="51"/>
    <w:lsdException w:name="HTML Cite" w:uiPriority="99"/>
    <w:lsdException w:name="Medium List 1 Accent 3" w:uiPriority="65"/>
    <w:lsdException w:name="Medium Grid 1" w:uiPriority="67"/>
    <w:lsdException w:name="Medium Grid 1 Accent 6" w:uiPriority="67"/>
    <w:lsdException w:name="Light Shading Accent 5" w:uiPriority="60"/>
    <w:lsdException w:name="Dark List Accent 5" w:uiPriority="70"/>
    <w:lsdException w:name="Medium Grid 3 Accent 3" w:uiPriority="69"/>
    <w:lsdException w:name="Outline List 2" w:uiPriority="99" w:semiHidden="1" w:unhideWhenUsed="1"/>
    <w:lsdException w:name="Colorful Grid Accent 1" w:uiPriority="73"/>
    <w:lsdException w:name="Grid Table 6 Colorful Accent 6" w:uiPriority="51"/>
    <w:lsdException w:name="Light List Accent 1" w:uiPriority="61"/>
    <w:lsdException w:name="List Table 3 Accent 5" w:uiPriority="48"/>
    <w:lsdException w:name="Medium List 1 Accent 4" w:uiPriority="65"/>
    <w:lsdException w:name="Table Grid 7" w:semiHidden="1" w:unhideWhenUsed="1"/>
    <w:lsdException w:name="Smart Hyperlink" w:uiPriority="99" w:semiHidden="1" w:unhideWhenUsed="1"/>
    <w:lsdException w:name="Grid Table 4 Accent 2" w:uiPriority="49"/>
    <w:lsdException w:name="Hashtag" w:uiPriority="99" w:semiHidden="1" w:unhideWhenUsed="1"/>
    <w:lsdException w:name="List Table 1 Light Accent 5" w:uiPriority="46"/>
    <w:lsdException w:name="Table Grid 4" w:semiHidden="1" w:unhideWhenUsed="1"/>
    <w:lsdException w:name="Colorful Grid Accent 6" w:uiPriority="73"/>
    <w:lsdException w:name="Medium Grid 2" w:uiPriority="68"/>
    <w:lsdException w:name="HTML Bottom of Form" w:uiPriority="99" w:semiHidden="1" w:unhideWhenUsed="1"/>
    <w:lsdException w:name="Plain Table 1" w:uiPriority="41"/>
    <w:lsdException w:name="Table Simple 1" w:semiHidden="1" w:unhideWhenUsed="1"/>
    <w:lsdException w:name="Strong" w:qFormat="1"/>
  </w:latentStyles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5" Type="http://schemas.openxmlformats.org/officeDocument/2006/relationships/image" Target="media/image1.png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2026-06-01T16:35:56Z</dcterms:created>
  <dcterms:modified xsi:type="dcterms:W3CDTF">2026-06-01T16:35:56Z</dcterms:modified>
</cp:coreProperties>
</file>