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财新传媒管理问题分析与解决方案（管理篇·润色版）</w:t>
      </w:r>
    </w:p>
    <w:p>
      <w:pPr>
        <w:pStyle w:val="Heading2"/>
      </w:pPr>
      <w:r>
        <w:t>一、核心问题的界定</w:t>
      </w:r>
    </w:p>
    <w:p>
      <w:pPr>
        <w:pStyle w:val="Heading3"/>
      </w:pPr>
      <w:r>
        <w:t>1. 从"架构问题"回到"人的问题"</w:t>
      </w:r>
    </w:p>
    <w:p>
      <w:r>
        <w:t>小组初稿把问题归为"组织架构与管理机制"。但若顺着管理学的逻辑深究，架构只是表象，</w:t>
      </w:r>
      <w:r>
        <w:rPr>
          <w:b/>
        </w:rPr>
        <w:t>真正困难、也真正属于管理学硬核的问题始终与"人"有关</w:t>
      </w:r>
      <w:r>
        <w:t>：</w:t>
      </w:r>
    </w:p>
    <w:p>
      <w:pPr>
        <w:ind w:left="360"/>
      </w:pPr>
      <w:r>
        <w:rPr>
          <w:i/>
        </w:rPr>
        <w:t>核心问题：在新闻专业主义价值观与市场化/技术化价值观并存的组织中，如何把两类动机结构、专业逻辑完全不同的"人"，在不破坏编辑独立的前提下，重新组织、激励与协同起来？</w:t>
      </w:r>
    </w:p>
    <w:p>
      <w:r>
        <w:t>财新拥有强编辑独立机制（公信力委员会、采编与经营分离的"防火墙"），这是它的核心资产。但在"新闻 + 数据 + 会议 + AI + 会员运营"的多产品阶段，组织面临的不是"要不要建中心、要不要拆架构"的技术问题，而是一个典型的</w:t>
      </w:r>
      <w:r>
        <w:rPr>
          <w:b/>
        </w:rPr>
        <w:t>组织行为与人力资源管理难题</w:t>
      </w:r>
      <w:r>
        <w:t>：</w:t>
      </w:r>
    </w:p>
    <w:p>
      <w:pPr>
        <w:pStyle w:val="ListBullet"/>
      </w:pPr>
      <w:r>
        <w:t>采编人才追求的是专业自治、声誉与同行认可（内在动机）；</w:t>
      </w:r>
    </w:p>
    <w:p>
      <w:pPr>
        <w:pStyle w:val="ListBullet"/>
      </w:pPr>
      <w:r>
        <w:t>经营与技术人才追求的是收入、增长、产品上线（外在/绩效动机）；</w:t>
      </w:r>
    </w:p>
    <w:p>
      <w:pPr>
        <w:pStyle w:val="ListBullet"/>
      </w:pPr>
      <w:r>
        <w:t>两类人若各自被独立考核，必然形成"局部最优、整体次优"，而连接他们的唯一制度只有"禁止线"（防火墙），缺少"协作线"。</w:t>
      </w:r>
    </w:p>
    <w:p>
      <w:r/>
      <w:r>
        <w:rPr>
          <w:b/>
        </w:rPr>
        <w:t>这才是难点：组织设计容易，重新对齐人的动机难。</w:t>
      </w:r>
      <w:r>
        <w:t xml:space="preserve"> 防火墙能挡住利益干预，却挡不住人才流失、协同失效与创新停滞。</w:t>
      </w:r>
    </w:p>
    <w:p>
      <w:pPr>
        <w:pStyle w:val="Heading3"/>
      </w:pPr>
      <w:r>
        <w:t>2. 用管理学理论给问题"定性"</w:t>
      </w:r>
    </w:p>
    <w:p>
      <w:r>
        <w:t xml:space="preserve">财新本质上是一个 </w:t>
      </w:r>
      <w:r>
        <w:rPr>
          <w:b/>
        </w:rPr>
        <w:t>明茨伯格（Henry Mintzberg）意义上的"专业官僚制"（Professional Bureaucracy）组织</w:t>
      </w:r>
      <w:r>
        <w:t>：</w:t>
      </w:r>
    </w:p>
    <w:p>
      <w:pPr>
        <w:pStyle w:val="ListBullet"/>
      </w:pPr>
      <w:r>
        <w:t>核心运作部门（采编）由高度专业化的"作业核心"构成，依靠技能标准化而非流程标准化协调；</w:t>
      </w:r>
    </w:p>
    <w:p>
      <w:pPr>
        <w:pStyle w:val="ListBullet"/>
      </w:pPr>
      <w:r>
        <w:t>专业人员（记者、编辑）享有高度自治，管理层难以用行政命令直接指挥其专业判断；</w:t>
      </w:r>
    </w:p>
    <w:p>
      <w:pPr>
        <w:pStyle w:val="ListBullet"/>
      </w:pPr>
      <w:r>
        <w:t>这类组织的天然优势是专业质量高，天然劣势是跨职能协调弱、对外部环境变化（如 AI、数据化）反应慢、创新依赖个人而非组织。</w:t>
      </w:r>
    </w:p>
    <w:p>
      <w:r>
        <w:t>财新初稿描述的"扁平、传统、新闻作坊式"，正是专业官僚制的典型特征。</w:t>
      </w:r>
      <w:r>
        <w:rPr>
          <w:b/>
        </w:rPr>
        <w:t>专业官僚制最经典的管理困境</w:t>
      </w:r>
      <w:r>
        <w:t>就是：当环境要求它跨专业协作、快速创新时，原有的"专业自治 + 技能标准化"机制反而成了阻力——这与初稿观察到的"项目孵化、跨部门协作、人才激励不足"完全吻合。</w:t>
      </w:r>
    </w:p>
    <w:p>
      <w:r>
        <w:t>因此，问题可精确表述为：</w:t>
      </w:r>
    </w:p>
    <w:p>
      <w:pPr>
        <w:ind w:left="360"/>
      </w:pPr>
      <w:r>
        <w:rPr>
          <w:i/>
        </w:rPr>
        <w:t>财新作为专业官僚制媒体，如何在保留专业自治（编辑独立）这一核心优势的同时，引入有限的"附加结构"和重新设计的激励机制，解决专业官僚制固有的"跨职能协同弱、动机割裂"难题。</w:t>
      </w:r>
    </w:p>
    <w:p>
      <w:r>
        <w:t>这一界定既具有</w:t>
      </w:r>
      <w:r>
        <w:rPr>
          <w:b/>
        </w:rPr>
        <w:t>普遍性</w:t>
      </w:r>
      <w:r>
        <w:t>（所有知识密集型、专业人才主导的组织——医院、律所、高校、研发机构——都面临同样困境），又具有</w:t>
      </w:r>
      <w:r>
        <w:rPr>
          <w:b/>
        </w:rPr>
        <w:t>典型性</w:t>
      </w:r>
      <w:r>
        <w:t>（财新的防火墙使这一矛盾尤为尖锐）。</w:t>
      </w:r>
    </w:p>
    <w:p>
      <w:pPr>
        <w:pStyle w:val="Heading2"/>
      </w:pPr>
      <w:r>
        <w:t>二、问题的三个具体表现（用理论解释"为什么难"）</w:t>
      </w:r>
    </w:p>
    <w:p>
      <w:pPr>
        <w:pStyle w:val="Heading3"/>
      </w:pPr>
      <w:r>
        <w:t>表现一：边界只有"禁止线"，没有"协作线"——协调机制缺失</w:t>
      </w:r>
    </w:p>
    <w:p>
      <w:r>
        <w:t>经营端掌握用户画像、续订变化、机构需求与会员反馈；编辑端拥有专业知识、专家网络与报道资料。但两者之间唯一的制度是"禁止直接沟通"。</w:t>
      </w:r>
    </w:p>
    <w:p>
      <w:r/>
      <w:r>
        <w:rPr>
          <w:b/>
        </w:rPr>
        <w:t>理论视角（明茨伯格协调机制）</w:t>
      </w:r>
      <w:r>
        <w:t>：专业官僚制依靠"技能标准化"协调，缺少"相互调适"（mutual adjustment）与"标准化产出"的横向机制。财新需要的不是拆掉防火墙，而是补上一种</w:t>
      </w:r>
      <w:r>
        <w:rPr>
          <w:b/>
        </w:rPr>
        <w:t>合法的、经过脱敏与审批的横向协调机制</w:t>
      </w:r>
      <w:r>
        <w:t>——这在组织设计上称为"联络角色 / 整合者 / 跨职能小组"等</w:t>
      </w:r>
      <w:r>
        <w:rPr>
          <w:b/>
        </w:rPr>
        <w:t>联结装置（liaison devices）</w:t>
      </w:r>
      <w:r>
        <w:t>。</w:t>
      </w:r>
    </w:p>
    <w:p>
      <w:pPr>
        <w:pStyle w:val="Heading3"/>
      </w:pPr>
      <w:r>
        <w:t>表现二：人才结构仍是"作坊"，难以承载 AI 与数据转型——结构与战略不匹配</w:t>
      </w:r>
    </w:p>
    <w:p>
      <w:r>
        <w:t>AI 转型需要"记者 + 编辑 + 产品经理 + 数据工程师 + 会员运营 + 合规官"协同，而作坊式结构无法稳定支撑。</w:t>
      </w:r>
    </w:p>
    <w:p>
      <w:r/>
      <w:r>
        <w:rPr>
          <w:b/>
        </w:rPr>
        <w:t>理论视角（钱德勒"结构追随战略" + 矩阵组织）</w:t>
      </w:r>
      <w:r>
        <w:t>：当战略从"单一内容生产"转向"多产品 + 数据驱动"，结构必须相应演化。但财新不能整体转为事业部或平台制（那会冲击编辑独立），最适合的是在专业官僚制之上</w:t>
      </w:r>
      <w:r>
        <w:rPr>
          <w:b/>
        </w:rPr>
        <w:t>叠加一层轻量矩阵 / 跨职能项目结构</w:t>
      </w:r>
      <w:r>
        <w:t>，让人才能够"按项目临时流动、项目结束后回归专业线"。</w:t>
      </w:r>
    </w:p>
    <w:p>
      <w:pPr>
        <w:pStyle w:val="Heading3"/>
      </w:pPr>
      <w:r>
        <w:t>表现三：三方各自考核，动机系统割裂——激励错位</w:t>
      </w:r>
    </w:p>
    <w:p>
      <w:r>
        <w:t>采编只考核报道质量、经营只考核收入、技术只考核功能上线，三方自然走向局部最优。</w:t>
      </w:r>
    </w:p>
    <w:p>
      <w:r/>
      <w:r>
        <w:rPr>
          <w:b/>
        </w:rPr>
        <w:t>理论视角（双因素理论 + 自我决定理论 + 委托代理）</w:t>
      </w:r>
      <w:r>
        <w:t>：</w:t>
      </w:r>
    </w:p>
    <w:p>
      <w:pPr>
        <w:pStyle w:val="ListBullet"/>
      </w:pPr>
      <w:r>
        <w:t>赫茨伯格双因素理论：薪酬是"保健因素"（缺了会不满，给多了也难持续激励专业人才），而专业人才真正的"激励因素"是成就、认可、责任与成长。财新若试图用"商业收入提成"激励记者，不仅无效，还会侵蚀编辑独立。</w:t>
      </w:r>
    </w:p>
    <w:p>
      <w:pPr>
        <w:pStyle w:val="ListBullet"/>
      </w:pPr>
      <w:r>
        <w:t>德西与瑞安自我决定理论（SDT）：专业人才的内在动机来自自主、胜任、归属三种需要。任何把记者直接绑定到客户收入的激励，都会"挤出"（crowding-out）其内在专业动机，反而损害报道质量。</w:t>
      </w:r>
    </w:p>
    <w:p>
      <w:pPr>
        <w:pStyle w:val="ListBullet"/>
      </w:pPr>
      <w:r>
        <w:t>委托代理视角：缺乏共同指标时，各部门作为"代理人"会按各自考核目标行动，产生协同失灵。需要设计兼顾三方、又不让客户直接影响选题的共同绩效契约。</w:t>
      </w:r>
    </w:p>
    <w:p>
      <w:pPr>
        <w:pStyle w:val="Heading2"/>
      </w:pPr>
      <w:r>
        <w:t>三、解决方案：围绕"人"重构动机与协同</w:t>
      </w:r>
    </w:p>
    <w:p>
      <w:pPr>
        <w:ind w:left="360"/>
      </w:pPr>
      <w:r>
        <w:rPr>
          <w:i/>
        </w:rPr>
        <w:t>总原则：不拆防火墙，只重组人。 编辑独立仍由公信力委员会、总编辑与编委层保护；解决方案的全部重心放在"如何重新组织人、重新对齐动机、让数据合规地随人流动"。</w:t>
      </w:r>
    </w:p>
    <w:p>
      <w:pPr>
        <w:pStyle w:val="Heading3"/>
      </w:pPr>
      <w:r>
        <w:t>方案一：以"联结装置"补齐协作线（解决协调缺失）</w:t>
      </w:r>
    </w:p>
    <w:p>
      <w:r>
        <w:t>在不打通采编与经营直接通道的前提下，新增两类</w:t>
      </w:r>
      <w:r>
        <w:rPr>
          <w:b/>
        </w:rPr>
        <w:t>整合性人员/机构</w:t>
      </w:r>
      <w:r>
        <w:t>作为合法的横向连接：</w:t>
      </w:r>
    </w:p>
    <w:p>
      <w:pPr>
        <w:pStyle w:val="ListNumber"/>
      </w:pPr>
      <w:r>
        <w:t>数据与 AI 赋能中心：作为"整合者（integrator）"，双重汇报给总编辑与总裁，业务上受公信力原则约束。它不生产报道、不接触客户指令，只做脱敏、聚合、工具化、知识沉淀——把经营侧信息加工成"行业洞察"，把编辑侧资料加工成"可复用数据资产"。</w:t>
      </w:r>
    </w:p>
    <w:p>
      <w:pPr>
        <w:pStyle w:val="ListNumber"/>
      </w:pPr>
      <w:r>
        <w:t>合规专员 / HRBP 等联络角色：嵌入项目，充当采编与经营之间的"翻译者"与"过滤阀"，确保客户需求经审批、脱敏后才能进入选题复盘。</w:t>
      </w:r>
    </w:p>
    <w:p>
      <w:pPr>
        <w:ind w:left="360"/>
      </w:pPr>
      <w:r>
        <w:rPr>
          <w:i/>
        </w:rPr>
        <w:t>理论落点：明茨伯格"联结装置"——在专业官僚制中以最小侵入方式补上横向协调，而不改变专业线的自治。</w:t>
      </w:r>
    </w:p>
    <w:p>
      <w:pPr>
        <w:pStyle w:val="Heading3"/>
      </w:pPr>
      <w:r>
        <w:t>方案二：以"轻量矩阵 + 跨职能小队"承载转型（解决结构错配）</w:t>
      </w:r>
    </w:p>
    <w:p>
      <w:r>
        <w:t xml:space="preserve">采用 </w:t>
      </w:r>
      <w:r>
        <w:rPr>
          <w:b/>
        </w:rPr>
        <w:t>"一委两线一中心 N 小队"</w:t>
      </w:r>
      <w:r>
        <w:t xml:space="preserve"> 结构：</w:t>
      </w:r>
    </w:p>
    <w:p>
      <w:pPr>
        <w:pStyle w:val="ListBullet"/>
      </w:pPr>
      <w:r>
        <w:t>一委：公信力委员会——治理约束与编辑原则（保护自主性）。</w:t>
      </w:r>
    </w:p>
    <w:p>
      <w:pPr>
        <w:pStyle w:val="ListBullet"/>
      </w:pPr>
      <w:r>
        <w:t>两线：采编线与经营线继续分离（保留专业官僚制核心）。</w:t>
      </w:r>
    </w:p>
    <w:p>
      <w:pPr>
        <w:pStyle w:val="ListBullet"/>
      </w:pPr>
      <w:r>
        <w:t>一中心：数据与 AI 赋能中心（横向整合者）。</w:t>
      </w:r>
    </w:p>
    <w:p>
      <w:pPr>
        <w:pStyle w:val="ListBullet"/>
      </w:pPr>
      <w:r>
        <w:t>N 小队：围绕 ESG、出海、金融数据、AI 搜索、会员留存等专题成立临时跨职能项目小队，结束后复盘并沉淀。</w:t>
      </w:r>
    </w:p>
    <w:p>
      <w:r>
        <w:t xml:space="preserve">每个重点项目采用 </w:t>
      </w:r>
      <w:r>
        <w:rPr>
          <w:b/>
        </w:rPr>
        <w:t>"1 项目编辑 + 1 产品经理 + 1 数据分析师 + 1 会员运营 + 1 商业接口 + 1 合规观察员"</w:t>
      </w:r>
      <w:r>
        <w:t xml:space="preserve"> 的六人小队。</w:t>
      </w:r>
    </w:p>
    <w:p>
      <w:pPr>
        <w:ind w:left="360"/>
      </w:pPr>
      <w:r>
        <w:rPr>
          <w:i/>
        </w:rPr>
        <w:t>理论落点：矩阵组织 / 跨职能团队——人才"纵向归属专业线、横向参与项目"，既满足专业归属，又实现跨职能协同。以 ESG 频道为试点（其本身已是跨部门、智库牵头形态）。</w:t>
      </w:r>
    </w:p>
    <w:p>
      <w:pPr>
        <w:pStyle w:val="Heading3"/>
      </w:pPr>
      <w:r>
        <w:t>方案三：以"双因素 + 平衡计分卡"重新对齐动机（解决激励错位，核心中的核心）</w:t>
      </w:r>
    </w:p>
    <w:p>
      <w:r>
        <w:t>这是整个方案最贴近"人"的部分。激励原则：</w:t>
      </w:r>
      <w:r>
        <w:rPr>
          <w:b/>
        </w:rPr>
        <w:t>"编辑不为客户收入写稿，经营不因短期收入突破防火墙，技术不只为上线而上线。"</w:t>
      </w:r>
      <w:r/>
    </w:p>
    <w:p>
      <w:r/>
      <w:r>
        <w:rPr>
          <w:b/>
        </w:rPr>
        <w:t>采编激励——保护内在动机，用平衡计分卡而非收入指标：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衡量内容</w:t>
            </w:r>
          </w:p>
        </w:tc>
      </w:tr>
      <w:tr>
        <w:tc>
          <w:tcPr>
            <w:tcW w:type="dxa" w:w="2880"/>
          </w:tcPr>
          <w:p>
            <w:r>
              <w:t>专业质量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独家性、事实核查、稿件影响、纠错率、同行评议</w:t>
            </w:r>
          </w:p>
        </w:tc>
      </w:tr>
      <w:tr>
        <w:tc>
          <w:tcPr>
            <w:tcW w:type="dxa" w:w="2880"/>
          </w:tcPr>
          <w:p>
            <w:r>
              <w:t>读者价值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阅读完成率、收藏/分享、专题留存（不看具体客户）</w:t>
            </w:r>
          </w:p>
        </w:tc>
      </w:tr>
      <w:tr>
        <w:tc>
          <w:tcPr>
            <w:tcW w:type="dxa" w:w="2880"/>
          </w:tcPr>
          <w:p>
            <w:r>
              <w:t>知识资产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标签完整度、资料库贡献、AI 训练反馈、专家库维护</w:t>
            </w:r>
          </w:p>
        </w:tc>
      </w:tr>
      <w:tr>
        <w:tc>
          <w:tcPr>
            <w:tcW w:type="dxa" w:w="2880"/>
          </w:tcPr>
          <w:p>
            <w:r>
              <w:t>协作与合规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项目复盘参与、流程准时率、商业边界遵守</w:t>
            </w:r>
          </w:p>
        </w:tc>
      </w:tr>
    </w:tbl>
    <w:p>
      <w:pPr>
        <w:ind w:left="360"/>
      </w:pPr>
      <w:r>
        <w:rPr>
          <w:i/>
        </w:rPr>
        <w:t>理论落点：</w:t>
      </w:r>
    </w:p>
    <w:p>
      <w:pPr>
        <w:ind w:left="360"/>
      </w:pPr>
      <w:r>
        <w:rPr>
          <w:i/>
        </w:rPr>
        <w:t>- 自我决定理论——以"专业认可（胜任）+ 专题自主（自主）+ 项目归属（归属）"满足内在动机，避免外在收入指标的"挤出效应"。</w:t>
      </w:r>
    </w:p>
    <w:p>
      <w:pPr>
        <w:ind w:left="360"/>
      </w:pPr>
      <w:r>
        <w:rPr>
          <w:i/>
        </w:rPr>
        <w:t>- 赫茨伯格双因素理论——把成就、认可、成长（激励因素）做实，把薪酬（保健因素）保持市场公平即可。</w:t>
      </w:r>
    </w:p>
    <w:p>
      <w:r/>
      <w:r>
        <w:rPr>
          <w:b/>
        </w:rPr>
        <w:t>经营激励——把"合规收入"放首位</w:t>
      </w:r>
      <w:r>
        <w:t>：商业内容必须有标签，机构需求只能通过中台转化为脱敏行业洞察，不能变成对记者的定向指令。</w:t>
      </w:r>
    </w:p>
    <w:p>
      <w:r/>
      <w:r>
        <w:rPr>
          <w:b/>
        </w:rPr>
        <w:t>跨职能共同指标——解决委托代理下的局部最优</w:t>
      </w:r>
      <w:r>
        <w:t>：设立</w:t>
      </w:r>
      <w:r>
        <w:rPr>
          <w:b/>
        </w:rPr>
        <w:t>项目级共同奖金</w:t>
      </w:r>
      <w:r>
        <w:t>，与"项目整体留存、机构咨询转化、纠错率、合规零事件"等共享指标挂钩，让三方利益在项目层面对齐，但</w:t>
      </w:r>
      <w:r>
        <w:rPr>
          <w:b/>
        </w:rPr>
        <w:t>绕开客户对选题的直接影响</w:t>
      </w:r>
      <w:r>
        <w:t>。</w:t>
      </w:r>
    </w:p>
    <w:p>
      <w:r/>
      <w:r>
        <w:rPr>
          <w:b/>
        </w:rPr>
        <w:t>薪酬四层结构</w:t>
      </w:r>
      <w:r>
        <w:t>：岗位工资（保健）+ 绩效奖金（专业/合规）+ 项目奖金（协同）+ 长期学习激励（成长）。</w:t>
      </w:r>
    </w:p>
    <w:p>
      <w:pPr>
        <w:pStyle w:val="Heading3"/>
      </w:pPr>
      <w:r>
        <w:t>方案四：以"数据随人合规流动"支撑上述机制（配套）</w:t>
      </w:r>
    </w:p>
    <w:p>
      <w:r>
        <w:t>数据与权限设计遵循"脱敏—聚合—审批"三道关：经营侧数据只能以聚合、脱敏形态进入赋能中心，再以"行业洞察"形态供编辑参考，全程留痕、可审计。这让"人的协同"有了合规的数据底座。</w:t>
      </w:r>
    </w:p>
    <w:p>
      <w:pPr>
        <w:pStyle w:val="Heading2"/>
      </w:pPr>
      <w:r>
        <w:t>四、实施路径与预期效果</w:t>
      </w:r>
    </w:p>
    <w:p>
      <w:r/>
      <w:r>
        <w:rPr>
          <w:b/>
        </w:rPr>
        <w:t>实施路径（分三步，降低专业人才的抵触）：</w:t>
      </w:r>
      <w:r/>
    </w:p>
    <w:p>
      <w:pPr>
        <w:pStyle w:val="ListNumber"/>
      </w:pPr>
      <w:r>
        <w:t>试点：以 ESG 频道为单一跨职能小队试点，验证激励与协同机制；</w:t>
      </w:r>
    </w:p>
    <w:p>
      <w:pPr>
        <w:pStyle w:val="ListNumber"/>
      </w:pPr>
      <w:r>
        <w:t>复盘与制度化：用共同指标复盘，沉淀为可复制的项目 SOP 与知识库；</w:t>
      </w:r>
    </w:p>
    <w:p>
      <w:pPr>
        <w:pStyle w:val="ListNumber"/>
      </w:pPr>
      <w:r>
        <w:t>推广：将赋能中心与项目小队机制扩展到出海、AI 搜索、会员留存等专题。</w:t>
      </w:r>
    </w:p>
    <w:p>
      <w:r/>
      <w:r>
        <w:rPr>
          <w:b/>
        </w:rPr>
        <w:t>预期效果：</w:t>
      </w:r>
      <w:r/>
    </w:p>
    <w:p>
      <w:pPr>
        <w:pStyle w:val="ListNumber"/>
      </w:pPr>
      <w:r>
        <w:t>守住公信力：公信力委员会 + 合规专员 + 客户负面清单，明确不可逾越的边界（保护自主性 = 保护核心资产）。</w:t>
      </w:r>
    </w:p>
    <w:p>
      <w:pPr>
        <w:pStyle w:val="ListNumber"/>
      </w:pPr>
      <w:r>
        <w:t>提升效率：AI 承担检索、标签、摘要、翻译、知识关联，记者把时间投入采访、核实、解释（提升胜任感）。</w:t>
      </w:r>
    </w:p>
    <w:p>
      <w:pPr>
        <w:pStyle w:val="ListNumber"/>
      </w:pPr>
      <w:r>
        <w:t>形成增长：优质报道沉淀为会员产品、机构订阅、会议议题、数据产品与 AI 可信来源（专业能力转化为组织能力）。</w:t>
      </w:r>
    </w:p>
    <w:p>
      <w:pPr>
        <w:pStyle w:val="Heading2"/>
      </w:pPr>
      <w:r>
        <w:t>五、结论</w:t>
      </w:r>
    </w:p>
    <w:p>
      <w:r>
        <w:t>财新的核心竞争力是新闻专业主义与高信任用户群，其组织本质是</w:t>
      </w:r>
      <w:r>
        <w:rPr>
          <w:b/>
        </w:rPr>
        <w:t>专业官僚制</w:t>
      </w:r>
      <w:r>
        <w:t>。强防火墙是它的优势，但在 AI 与数据驱动阶段，单纯隔离已不足以支撑增长。</w:t>
      </w:r>
    </w:p>
    <w:p>
      <w:r/>
      <w:r>
        <w:rPr>
          <w:b/>
        </w:rPr>
        <w:t>真正的管理难题不是架构，而是人</w:t>
      </w:r>
      <w:r>
        <w:t>：人没有被重新组织，动机没有被重新对齐，数据没有被合规地流动。</w:t>
      </w:r>
    </w:p>
    <w:p>
      <w:r>
        <w:t>因此最适合财新的方案不是平台化、流量化或弱化编辑独立，而是在防火墙之外</w:t>
      </w:r>
      <w:r>
        <w:rPr>
          <w:b/>
        </w:rPr>
        <w:t>"增加可协同的人、重新对齐人的动机"</w:t>
      </w:r>
      <w:r>
        <w:t>——用联结装置补协调、用轻量矩阵补结构、用双因素与平衡计分卡补激励。这既守住了专业官僚制的自治优势，又解决了它固有的协同与创新短板。</w:t>
      </w:r>
    </w:p>
    <w:p>
      <w:pPr>
        <w:ind w:left="360"/>
      </w:pPr>
      <w:r>
        <w:rPr>
          <w:i/>
        </w:rPr>
        <w:t>一句话概括核心贡献：把财新的问题从"组织架构问题"重新界定为"专业官僚制中专业人才与市场化人才的动机对齐与跨职能协同问题"，并用一套不破坏内在动机、只增加协作与对齐的人力资源方案加以解决。</w:t>
      </w:r>
    </w:p>
    <w:p>
      <w:pPr>
        <w:pStyle w:val="Heading3"/>
      </w:pPr>
      <w:r>
        <w:t>主要管理学理论索引（供答辩备查）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理论</w:t>
            </w:r>
          </w:p>
        </w:tc>
        <w:tc>
          <w:tcPr>
            <w:tcW w:type="dxa" w:w="2880"/>
          </w:tcPr>
          <w:p>
            <w:r>
              <w:t>提出者</w:t>
            </w:r>
          </w:p>
        </w:tc>
        <w:tc>
          <w:tcPr>
            <w:tcW w:type="dxa" w:w="2880"/>
          </w:tcPr>
          <w:p>
            <w:r>
              <w:t>在本案中的作用</w:t>
            </w:r>
          </w:p>
        </w:tc>
      </w:tr>
      <w:tr>
        <w:tc>
          <w:tcPr>
            <w:tcW w:type="dxa" w:w="2880"/>
          </w:tcPr>
          <w:p>
            <w:r>
              <w:t>专业官僚制 / 五种协调机制 / 联结装置</w:t>
            </w:r>
          </w:p>
        </w:tc>
        <w:tc>
          <w:tcPr>
            <w:tcW w:type="dxa" w:w="2880"/>
          </w:tcPr>
          <w:p>
            <w:r>
              <w:t>Henry Mintzberg</w:t>
            </w:r>
          </w:p>
        </w:tc>
        <w:tc>
          <w:tcPr>
            <w:tcW w:type="dxa" w:w="2880"/>
          </w:tcPr>
          <w:p>
            <w:r>
              <w:t>界定财新的组织性质与协调短板</w:t>
            </w:r>
          </w:p>
        </w:tc>
      </w:tr>
      <w:tr>
        <w:tc>
          <w:tcPr>
            <w:tcW w:type="dxa" w:w="2880"/>
          </w:tcPr>
          <w:p>
            <w:r>
              <w:t>结构追随战略</w:t>
            </w:r>
          </w:p>
        </w:tc>
        <w:tc>
          <w:tcPr>
            <w:tcW w:type="dxa" w:w="2880"/>
          </w:tcPr>
          <w:p>
            <w:r>
              <w:t>Alfred Chandler</w:t>
            </w:r>
          </w:p>
        </w:tc>
        <w:tc>
          <w:tcPr>
            <w:tcW w:type="dxa" w:w="2880"/>
          </w:tcPr>
          <w:p>
            <w:r>
              <w:t>解释为何需随 AI/数据战略调整结构</w:t>
            </w:r>
          </w:p>
        </w:tc>
      </w:tr>
      <w:tr>
        <w:tc>
          <w:tcPr>
            <w:tcW w:type="dxa" w:w="2880"/>
          </w:tcPr>
          <w:p>
            <w:r>
              <w:t>矩阵 / 跨职能团队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提供"专业线 + 项目线"双重归属的结构方案</w:t>
            </w:r>
          </w:p>
        </w:tc>
      </w:tr>
      <w:tr>
        <w:tc>
          <w:tcPr>
            <w:tcW w:type="dxa" w:w="2880"/>
          </w:tcPr>
          <w:p>
            <w:r>
              <w:t>双因素理论</w:t>
            </w:r>
          </w:p>
        </w:tc>
        <w:tc>
          <w:tcPr>
            <w:tcW w:type="dxa" w:w="2880"/>
          </w:tcPr>
          <w:p>
            <w:r>
              <w:t>Frederick Herzberg</w:t>
            </w:r>
          </w:p>
        </w:tc>
        <w:tc>
          <w:tcPr>
            <w:tcW w:type="dxa" w:w="2880"/>
          </w:tcPr>
          <w:p>
            <w:r>
              <w:t>区分薪酬（保健）与专业认可（激励）</w:t>
            </w:r>
          </w:p>
        </w:tc>
      </w:tr>
      <w:tr>
        <w:tc>
          <w:tcPr>
            <w:tcW w:type="dxa" w:w="2880"/>
          </w:tcPr>
          <w:p>
            <w:r>
              <w:t>自我决定理论（SDT）</w:t>
            </w:r>
          </w:p>
        </w:tc>
        <w:tc>
          <w:tcPr>
            <w:tcW w:type="dxa" w:w="2880"/>
          </w:tcPr>
          <w:p>
            <w:r>
              <w:t>Deci &amp; Ryan</w:t>
            </w:r>
          </w:p>
        </w:tc>
        <w:tc>
          <w:tcPr>
            <w:tcW w:type="dxa" w:w="2880"/>
          </w:tcPr>
          <w:p>
            <w:r>
              <w:t>解释内在动机与"挤出效应"，指导采编激励</w:t>
            </w:r>
          </w:p>
        </w:tc>
      </w:tr>
      <w:tr>
        <w:tc>
          <w:tcPr>
            <w:tcW w:type="dxa" w:w="2880"/>
          </w:tcPr>
          <w:p>
            <w:r>
              <w:t>平衡计分卡</w:t>
            </w:r>
          </w:p>
        </w:tc>
        <w:tc>
          <w:tcPr>
            <w:tcW w:type="dxa" w:w="2880"/>
          </w:tcPr>
          <w:p>
            <w:r>
              <w:t>Kaplan &amp; Norton</w:t>
            </w:r>
          </w:p>
        </w:tc>
        <w:tc>
          <w:tcPr>
            <w:tcW w:type="dxa" w:w="2880"/>
          </w:tcPr>
          <w:p>
            <w:r>
              <w:t>设计多维、非单一收入的绩效考核</w:t>
            </w:r>
          </w:p>
        </w:tc>
      </w:tr>
      <w:tr>
        <w:tc>
          <w:tcPr>
            <w:tcW w:type="dxa" w:w="2880"/>
          </w:tcPr>
          <w:p>
            <w:r>
              <w:t>委托代理理论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解释局部最优问题，指导共同绩效契约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