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Calibri" w:hAnsi="Calibri"/>
          <w:b/>
          <w:i w:val="0"/>
          <w:color w:val="2E74B5"/>
          <w:sz w:val="20"/>
        </w:rPr>
        <w:t>CLASSLIFT OWNER GUIDE</w:t>
      </w:r>
    </w:p>
    <w:p>
      <w:pPr>
        <w:spacing w:after="160"/>
        <w:jc w:val="center"/>
      </w:pPr>
      <w:r>
        <w:rPr>
          <w:rFonts w:ascii="Calibri" w:hAnsi="Calibri"/>
          <w:b/>
          <w:i w:val="0"/>
          <w:color w:val="0B2545"/>
          <w:sz w:val="56"/>
        </w:rPr>
        <w:t>Working Effectively</w:t>
        <w:br/>
        <w:t>with AI on ClassLift</w:t>
      </w:r>
    </w:p>
    <w:p>
      <w:pPr>
        <w:spacing w:after="560"/>
        <w:jc w:val="center"/>
      </w:pPr>
      <w:r>
        <w:rPr>
          <w:rFonts w:ascii="Calibri" w:hAnsi="Calibri"/>
          <w:b w:val="0"/>
          <w:i w:val="0"/>
          <w:color w:val="667085"/>
          <w:sz w:val="28"/>
        </w:rPr>
        <w:t>How to give AI reliable context, request safe changes, and keep documentation synchronized with the code</w:t>
      </w:r>
    </w:p>
    <w:tbl>
      <w:tblPr>
        <w:tblW w:type="auto" w:w="0"/>
        <w:jc w:val="center"/>
        <w:tblLayout w:type="fixed"/>
        <w:tblLook w:firstColumn="1" w:firstRow="1" w:lastColumn="0" w:lastRow="0" w:noHBand="0" w:noVBand="1" w:val="04A0"/>
      </w:tblPr>
      <w:tblGrid>
        <w:gridCol w:w="9360"/>
      </w:tblGrid>
      <w:tr>
        <w:tc>
          <w:tcPr>
            <w:tcW w:type="dxa" w:w="9360"/>
            <w:shd w:fill="E8EEF5"/>
            <w:tcMar>
              <w:top w:w="140" w:type="dxa"/>
              <w:bottom w:w="140" w:type="dxa"/>
              <w:start w:w="160" w:type="dxa"/>
              <w:end w:w="160" w:type="dxa"/>
            </w:tcMar>
          </w:tcPr>
          <w:p>
            <w:pPr>
              <w:spacing w:after="60"/>
            </w:pPr>
            <w:r>
              <w:rPr>
                <w:rFonts w:ascii="Calibri" w:hAnsi="Calibri"/>
                <w:b/>
                <w:i w:val="0"/>
                <w:color w:val="2E74B5"/>
                <w:sz w:val="22"/>
              </w:rPr>
              <w:t>Core principle</w:t>
            </w:r>
          </w:p>
          <w:p>
            <w:pPr>
              <w:spacing w:after="0"/>
            </w:pPr>
            <w:r>
              <w:rPr>
                <w:rFonts w:ascii="Calibri" w:hAnsi="Calibri"/>
                <w:b w:val="0"/>
                <w:i w:val="0"/>
                <w:color w:val="0B2545"/>
                <w:sz w:val="21"/>
              </w:rPr>
              <w:t>AI works best when it receives concise system context, a precise task, clear boundaries, and permission to verify the current source code. Documentation accelerates understanding; source code and migrations remain authoritative.</w:t>
            </w:r>
          </w:p>
        </w:tc>
      </w:tr>
    </w:tbl>
    <w:p/>
    <w:tbl>
      <w:tblPr>
        <w:tblW w:type="auto" w:w="0"/>
        <w:jc w:val="center"/>
        <w:tblLayout w:type="fixed"/>
        <w:tblLook w:firstColumn="1" w:firstRow="1" w:lastColumn="0" w:lastRow="0" w:noHBand="0" w:noVBand="1" w:val="04A0"/>
      </w:tblPr>
      <w:tblGrid>
        <w:gridCol w:w="4680"/>
        <w:gridCol w:w="4680"/>
      </w:tblGrid>
      <w:tr>
        <w:trPr>
          <w:tblHeader w:val="true"/>
        </w:trPr>
        <w:tc>
          <w:tcPr>
            <w:tcW w:type="dxa" w:w="2448"/>
            <w:vAlign w:val="center"/>
            <w:tcMar>
              <w:top w:w="80" w:type="dxa"/>
              <w:bottom w:w="80" w:type="dxa"/>
              <w:start w:w="120" w:type="dxa"/>
              <w:end w:w="120" w:type="dxa"/>
            </w:tcMar>
            <w:shd w:fill="2E74B5"/>
          </w:tcPr>
          <w:p>
            <w:pPr>
              <w:spacing w:after="0"/>
            </w:pPr>
            <w:r/>
            <w:r>
              <w:rPr>
                <w:rFonts w:ascii="Calibri" w:hAnsi="Calibri"/>
                <w:b/>
                <w:i w:val="0"/>
                <w:color w:val="FFFFFF"/>
                <w:sz w:val="18"/>
              </w:rPr>
              <w:t>Document purpose</w:t>
            </w:r>
          </w:p>
        </w:tc>
        <w:tc>
          <w:tcPr>
            <w:tcW w:type="dxa" w:w="6912"/>
            <w:vAlign w:val="center"/>
            <w:tcMar>
              <w:top w:w="80" w:type="dxa"/>
              <w:bottom w:w="80" w:type="dxa"/>
              <w:start w:w="120" w:type="dxa"/>
              <w:end w:w="120" w:type="dxa"/>
            </w:tcMar>
            <w:shd w:fill="2E74B5"/>
          </w:tcPr>
          <w:p>
            <w:pPr>
              <w:spacing w:after="0"/>
            </w:pPr>
            <w:r/>
            <w:r>
              <w:rPr>
                <w:rFonts w:ascii="Calibri" w:hAnsi="Calibri"/>
                <w:b/>
                <w:i w:val="0"/>
                <w:color w:val="FFFFFF"/>
                <w:sz w:val="18"/>
              </w:rPr>
              <w:t>Value</w:t>
            </w:r>
          </w:p>
        </w:tc>
      </w:tr>
      <w:tr>
        <w:tc>
          <w:tcPr>
            <w:tcW w:type="dxa" w:w="2448"/>
            <w:vAlign w:val="center"/>
            <w:tcMar>
              <w:top w:w="80" w:type="dxa"/>
              <w:bottom w:w="80" w:type="dxa"/>
              <w:start w:w="120" w:type="dxa"/>
              <w:end w:w="120" w:type="dxa"/>
            </w:tcMar>
            <w:shd w:fill="FFFFFF"/>
          </w:tcPr>
          <w:p>
            <w:pPr>
              <w:spacing w:after="0"/>
            </w:pPr>
            <w:r/>
            <w:r>
              <w:rPr>
                <w:rFonts w:ascii="Calibri" w:hAnsi="Calibri"/>
                <w:b w:val="0"/>
                <w:i w:val="0"/>
                <w:color w:val="0B2545"/>
                <w:sz w:val="18"/>
              </w:rPr>
              <w:t>Audience</w:t>
            </w:r>
          </w:p>
        </w:tc>
        <w:tc>
          <w:tcPr>
            <w:tcW w:type="dxa" w:w="6912"/>
            <w:vAlign w:val="center"/>
            <w:tcMar>
              <w:top w:w="80" w:type="dxa"/>
              <w:bottom w:w="80" w:type="dxa"/>
              <w:start w:w="120" w:type="dxa"/>
              <w:end w:w="120" w:type="dxa"/>
            </w:tcMar>
            <w:shd w:fill="FFFFFF"/>
          </w:tcPr>
          <w:p>
            <w:pPr>
              <w:spacing w:after="0"/>
            </w:pPr>
            <w:r/>
            <w:r>
              <w:rPr>
                <w:rFonts w:ascii="Calibri" w:hAnsi="Calibri"/>
                <w:b w:val="0"/>
                <w:i w:val="0"/>
                <w:color w:val="0B2545"/>
                <w:sz w:val="18"/>
              </w:rPr>
              <w:t>ClassLift owner and future collaborators</w:t>
            </w:r>
          </w:p>
        </w:tc>
      </w:tr>
      <w:tr>
        <w:tc>
          <w:tcPr>
            <w:tcW w:type="dxa" w:w="2448"/>
            <w:vAlign w:val="center"/>
            <w:tcMar>
              <w:top w:w="80" w:type="dxa"/>
              <w:bottom w:w="80" w:type="dxa"/>
              <w:start w:w="120" w:type="dxa"/>
              <w:end w:w="120" w:type="dxa"/>
            </w:tcMar>
            <w:shd w:fill="F2F4F7"/>
          </w:tcPr>
          <w:p>
            <w:pPr>
              <w:spacing w:after="0"/>
            </w:pPr>
            <w:r/>
            <w:r>
              <w:rPr>
                <w:rFonts w:ascii="Calibri" w:hAnsi="Calibri"/>
                <w:b w:val="0"/>
                <w:i w:val="0"/>
                <w:color w:val="0B2545"/>
                <w:sz w:val="18"/>
              </w:rPr>
              <w:t>Use</w:t>
            </w:r>
          </w:p>
        </w:tc>
        <w:tc>
          <w:tcPr>
            <w:tcW w:type="dxa" w:w="6912"/>
            <w:vAlign w:val="center"/>
            <w:tcMar>
              <w:top w:w="80" w:type="dxa"/>
              <w:bottom w:w="80" w:type="dxa"/>
              <w:start w:w="120" w:type="dxa"/>
              <w:end w:w="120" w:type="dxa"/>
            </w:tcMar>
            <w:shd w:fill="F2F4F7"/>
          </w:tcPr>
          <w:p>
            <w:pPr>
              <w:spacing w:after="0"/>
            </w:pPr>
            <w:r/>
            <w:r>
              <w:rPr>
                <w:rFonts w:ascii="Calibri" w:hAnsi="Calibri"/>
                <w:b w:val="0"/>
                <w:i w:val="0"/>
                <w:color w:val="0B2545"/>
                <w:sz w:val="18"/>
              </w:rPr>
              <w:t>Before requesting analysis, database work, or production-impacting code changes</w:t>
            </w:r>
          </w:p>
        </w:tc>
      </w:tr>
      <w:tr>
        <w:tc>
          <w:tcPr>
            <w:tcW w:type="dxa" w:w="2448"/>
            <w:vAlign w:val="center"/>
            <w:tcMar>
              <w:top w:w="80" w:type="dxa"/>
              <w:bottom w:w="80" w:type="dxa"/>
              <w:start w:w="120" w:type="dxa"/>
              <w:end w:w="120" w:type="dxa"/>
            </w:tcMar>
            <w:shd w:fill="FFFFFF"/>
          </w:tcPr>
          <w:p>
            <w:pPr>
              <w:spacing w:after="0"/>
            </w:pPr>
            <w:r/>
            <w:r>
              <w:rPr>
                <w:rFonts w:ascii="Calibri" w:hAnsi="Calibri"/>
                <w:b w:val="0"/>
                <w:i w:val="0"/>
                <w:color w:val="0B2545"/>
                <w:sz w:val="18"/>
              </w:rPr>
              <w:t>Companion context</w:t>
            </w:r>
          </w:p>
        </w:tc>
        <w:tc>
          <w:tcPr>
            <w:tcW w:type="dxa" w:w="6912"/>
            <w:vAlign w:val="center"/>
            <w:tcMar>
              <w:top w:w="80" w:type="dxa"/>
              <w:bottom w:w="80" w:type="dxa"/>
              <w:start w:w="120" w:type="dxa"/>
              <w:end w:w="120" w:type="dxa"/>
            </w:tcMar>
            <w:shd w:fill="FFFFFF"/>
          </w:tcPr>
          <w:p>
            <w:pPr>
              <w:spacing w:after="0"/>
            </w:pPr>
            <w:r/>
            <w:r>
              <w:rPr>
                <w:rFonts w:ascii="Calibri" w:hAnsi="Calibri"/>
                <w:b w:val="0"/>
                <w:i w:val="0"/>
                <w:color w:val="0B2545"/>
                <w:sz w:val="18"/>
              </w:rPr>
              <w:t>ClassLift Database Design and Course Enrollment Workflows.md</w:t>
            </w:r>
          </w:p>
        </w:tc>
      </w:tr>
      <w:tr>
        <w:tc>
          <w:tcPr>
            <w:tcW w:type="dxa" w:w="2448"/>
            <w:vAlign w:val="center"/>
            <w:tcMar>
              <w:top w:w="80" w:type="dxa"/>
              <w:bottom w:w="80" w:type="dxa"/>
              <w:start w:w="120" w:type="dxa"/>
              <w:end w:w="120" w:type="dxa"/>
            </w:tcMar>
            <w:shd w:fill="F2F4F7"/>
          </w:tcPr>
          <w:p>
            <w:pPr>
              <w:spacing w:after="0"/>
            </w:pPr>
            <w:r/>
            <w:r>
              <w:rPr>
                <w:rFonts w:ascii="Calibri" w:hAnsi="Calibri"/>
                <w:b w:val="0"/>
                <w:i w:val="0"/>
                <w:color w:val="0B2545"/>
                <w:sz w:val="18"/>
              </w:rPr>
              <w:t>Version</w:t>
            </w:r>
          </w:p>
        </w:tc>
        <w:tc>
          <w:tcPr>
            <w:tcW w:type="dxa" w:w="6912"/>
            <w:vAlign w:val="center"/>
            <w:tcMar>
              <w:top w:w="80" w:type="dxa"/>
              <w:bottom w:w="80" w:type="dxa"/>
              <w:start w:w="120" w:type="dxa"/>
              <w:end w:w="120" w:type="dxa"/>
            </w:tcMar>
            <w:shd w:fill="F2F4F7"/>
          </w:tcPr>
          <w:p>
            <w:pPr>
              <w:spacing w:after="0"/>
            </w:pPr>
            <w:r/>
            <w:r>
              <w:rPr>
                <w:rFonts w:ascii="Calibri" w:hAnsi="Calibri"/>
                <w:b w:val="0"/>
                <w:i w:val="0"/>
                <w:color w:val="0B2545"/>
                <w:sz w:val="18"/>
              </w:rPr>
              <w:t>1.0 • 30 August 2026</w:t>
            </w:r>
          </w:p>
        </w:tc>
      </w:tr>
    </w:tbl>
    <w:p>
      <w:r>
        <w:br w:type="page"/>
      </w:r>
    </w:p>
    <w:p>
      <w:pPr>
        <w:pStyle w:val="Heading1"/>
      </w:pPr>
      <w:r>
        <w:t>1. Is the database guide useful to AI?</w:t>
      </w:r>
    </w:p>
    <w:p>
      <w:r>
        <w:t>Yes. The Markdown database guide gives AI a strong conceptual map of ClassLift before it opens individual files. This reduces discovery time, helps the AI use the correct terminology, and lowers the chance that it misunderstands the enrollment model.</w:t>
      </w:r>
    </w:p>
    <w:p>
      <w:pPr>
        <w:pStyle w:val="Heading2"/>
      </w:pPr>
      <w:r>
        <w:t>What the guide explains well</w:t>
      </w:r>
    </w:p>
    <w:p>
      <w:pPr>
        <w:pStyle w:val="ListBullet"/>
      </w:pPr>
      <w:r>
        <w:t>The shared platform database and database-per-tenant operational architecture.</w:t>
      </w:r>
    </w:p>
    <w:p>
      <w:pPr>
        <w:pStyle w:val="ListBullet"/>
      </w:pPr>
      <w:r>
        <w:t>The important business tables and their relationships.</w:t>
      </w:r>
    </w:p>
    <w:p>
      <w:pPr>
        <w:pStyle w:val="ListBullet"/>
      </w:pPr>
      <w:r>
        <w:t>Private-course and group-course registration and scheduling workflows.</w:t>
      </w:r>
    </w:p>
    <w:p>
      <w:pPr>
        <w:pStyle w:val="ListBullet"/>
      </w:pPr>
      <w:r>
        <w:t>The two different meanings of EnrollmentID_Ref.</w:t>
      </w:r>
    </w:p>
    <w:p>
      <w:pPr>
        <w:pStyle w:val="ListBullet"/>
      </w:pPr>
      <w:r>
        <w:t>Registration, confirmation, fee, payment, child-balance, and coach-income flows.</w:t>
      </w:r>
    </w:p>
    <w:p>
      <w:pPr>
        <w:pStyle w:val="ListBullet"/>
      </w:pPr>
      <w:r>
        <w:t>Known integrity risks and recommended safeguards.</w:t>
      </w:r>
    </w:p>
    <w:tbl>
      <w:tblPr>
        <w:tblW w:type="auto" w:w="0"/>
        <w:jc w:val="center"/>
        <w:tblLayout w:type="fixed"/>
        <w:tblLook w:firstColumn="1" w:firstRow="1" w:lastColumn="0" w:lastRow="0" w:noHBand="0" w:noVBand="1" w:val="04A0"/>
      </w:tblPr>
      <w:tblGrid>
        <w:gridCol w:w="9360"/>
      </w:tblGrid>
      <w:tr>
        <w:tc>
          <w:tcPr>
            <w:tcW w:type="dxa" w:w="9360"/>
            <w:shd w:fill="FFF4D6"/>
            <w:tcMar>
              <w:top w:w="140" w:type="dxa"/>
              <w:bottom w:w="140" w:type="dxa"/>
              <w:start w:w="160" w:type="dxa"/>
              <w:end w:w="160" w:type="dxa"/>
            </w:tcMar>
          </w:tcPr>
          <w:p>
            <w:pPr>
              <w:spacing w:after="60"/>
            </w:pPr>
            <w:r>
              <w:rPr>
                <w:rFonts w:ascii="Calibri" w:hAnsi="Calibri"/>
                <w:b/>
                <w:i w:val="0"/>
                <w:color w:val="2E74B5"/>
                <w:sz w:val="22"/>
              </w:rPr>
              <w:t>Important limitation</w:t>
            </w:r>
          </w:p>
          <w:p>
            <w:pPr>
              <w:spacing w:after="0"/>
            </w:pPr>
            <w:r>
              <w:rPr>
                <w:rFonts w:ascii="Calibri" w:hAnsi="Calibri"/>
                <w:b w:val="0"/>
                <w:i w:val="0"/>
                <w:color w:val="0B2545"/>
                <w:sz w:val="21"/>
              </w:rPr>
              <w:t>The guide is context, not proof. AI should inspect current code, migrations, tests, and configuration before making a change because documentation can become outdated.</w:t>
            </w:r>
          </w:p>
        </w:tc>
      </w:tr>
    </w:tbl>
    <w:p>
      <w:pPr>
        <w:pStyle w:val="Heading2"/>
      </w:pPr>
      <w:r>
        <w:t>Use the right artifact for the right audience</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00"/>
            <w:vAlign w:val="center"/>
            <w:tcMar>
              <w:top w:w="80" w:type="dxa"/>
              <w:bottom w:w="80" w:type="dxa"/>
              <w:start w:w="120" w:type="dxa"/>
              <w:end w:w="120" w:type="dxa"/>
            </w:tcMar>
            <w:shd w:fill="2E74B5"/>
          </w:tcPr>
          <w:p>
            <w:pPr>
              <w:spacing w:after="0"/>
            </w:pPr>
            <w:r/>
            <w:r>
              <w:rPr>
                <w:rFonts w:ascii="Calibri" w:hAnsi="Calibri"/>
                <w:b/>
                <w:i w:val="0"/>
                <w:color w:val="FFFFFF"/>
                <w:sz w:val="18"/>
              </w:rPr>
              <w:t>Format</w:t>
            </w:r>
          </w:p>
        </w:tc>
        <w:tc>
          <w:tcPr>
            <w:tcW w:type="dxa" w:w="3528"/>
            <w:vAlign w:val="center"/>
            <w:tcMar>
              <w:top w:w="80" w:type="dxa"/>
              <w:bottom w:w="80" w:type="dxa"/>
              <w:start w:w="120" w:type="dxa"/>
              <w:end w:w="120" w:type="dxa"/>
            </w:tcMar>
            <w:shd w:fill="2E74B5"/>
          </w:tcPr>
          <w:p>
            <w:pPr>
              <w:spacing w:after="0"/>
            </w:pPr>
            <w:r/>
            <w:r>
              <w:rPr>
                <w:rFonts w:ascii="Calibri" w:hAnsi="Calibri"/>
                <w:b/>
                <w:i w:val="0"/>
                <w:color w:val="FFFFFF"/>
                <w:sz w:val="18"/>
              </w:rPr>
              <w:t>Best use</w:t>
            </w:r>
          </w:p>
        </w:tc>
        <w:tc>
          <w:tcPr>
            <w:tcW w:type="dxa" w:w="4032"/>
            <w:vAlign w:val="center"/>
            <w:tcMar>
              <w:top w:w="80" w:type="dxa"/>
              <w:bottom w:w="80" w:type="dxa"/>
              <w:start w:w="120" w:type="dxa"/>
              <w:end w:w="120" w:type="dxa"/>
            </w:tcMar>
            <w:shd w:fill="2E74B5"/>
          </w:tcPr>
          <w:p>
            <w:pPr>
              <w:spacing w:after="0"/>
            </w:pPr>
            <w:r/>
            <w:r>
              <w:rPr>
                <w:rFonts w:ascii="Calibri" w:hAnsi="Calibri"/>
                <w:b/>
                <w:i w:val="0"/>
                <w:color w:val="FFFFFF"/>
                <w:sz w:val="18"/>
              </w:rPr>
              <w:t>Strength</w:t>
            </w:r>
          </w:p>
        </w:tc>
      </w:tr>
      <w:tr>
        <w:tc>
          <w:tcPr>
            <w:tcW w:type="dxa" w:w="1800"/>
            <w:vAlign w:val="center"/>
            <w:tcMar>
              <w:top w:w="80" w:type="dxa"/>
              <w:bottom w:w="80" w:type="dxa"/>
              <w:start w:w="120" w:type="dxa"/>
              <w:end w:w="120" w:type="dxa"/>
            </w:tcMar>
            <w:shd w:fill="FFFFFF"/>
          </w:tcPr>
          <w:p>
            <w:pPr>
              <w:spacing w:after="0"/>
            </w:pPr>
            <w:r/>
            <w:r>
              <w:rPr>
                <w:rFonts w:ascii="Calibri" w:hAnsi="Calibri"/>
                <w:b w:val="0"/>
                <w:i w:val="0"/>
                <w:color w:val="0B2545"/>
                <w:sz w:val="18"/>
              </w:rPr>
              <w:t>Markdown (.md)</w:t>
            </w:r>
          </w:p>
        </w:tc>
        <w:tc>
          <w:tcPr>
            <w:tcW w:type="dxa" w:w="3528"/>
            <w:vAlign w:val="center"/>
            <w:tcMar>
              <w:top w:w="80" w:type="dxa"/>
              <w:bottom w:w="80" w:type="dxa"/>
              <w:start w:w="120" w:type="dxa"/>
              <w:end w:w="120" w:type="dxa"/>
            </w:tcMar>
            <w:shd w:fill="FFFFFF"/>
          </w:tcPr>
          <w:p>
            <w:pPr>
              <w:spacing w:after="0"/>
            </w:pPr>
            <w:r/>
            <w:r>
              <w:rPr>
                <w:rFonts w:ascii="Calibri" w:hAnsi="Calibri"/>
                <w:b w:val="0"/>
                <w:i w:val="0"/>
                <w:color w:val="0B2545"/>
                <w:sz w:val="18"/>
              </w:rPr>
              <w:t>AI context, developers, repository history, reviews</w:t>
            </w:r>
          </w:p>
        </w:tc>
        <w:tc>
          <w:tcPr>
            <w:tcW w:type="dxa" w:w="4032"/>
            <w:vAlign w:val="center"/>
            <w:tcMar>
              <w:top w:w="80" w:type="dxa"/>
              <w:bottom w:w="80" w:type="dxa"/>
              <w:start w:w="120" w:type="dxa"/>
              <w:end w:w="120" w:type="dxa"/>
            </w:tcMar>
            <w:shd w:fill="FFFFFF"/>
          </w:tcPr>
          <w:p>
            <w:pPr>
              <w:spacing w:after="0"/>
            </w:pPr>
            <w:r/>
            <w:r>
              <w:rPr>
                <w:rFonts w:ascii="Calibri" w:hAnsi="Calibri"/>
                <w:b w:val="0"/>
                <w:i w:val="0"/>
                <w:color w:val="0B2545"/>
                <w:sz w:val="18"/>
              </w:rPr>
              <w:t>Searchable, diffable, easy to update with code</w:t>
            </w:r>
          </w:p>
        </w:tc>
      </w:tr>
      <w:tr>
        <w:tc>
          <w:tcPr>
            <w:tcW w:type="dxa" w:w="1800"/>
            <w:vAlign w:val="center"/>
            <w:tcMar>
              <w:top w:w="80" w:type="dxa"/>
              <w:bottom w:w="80" w:type="dxa"/>
              <w:start w:w="120" w:type="dxa"/>
              <w:end w:w="120" w:type="dxa"/>
            </w:tcMar>
            <w:shd w:fill="F2F4F7"/>
          </w:tcPr>
          <w:p>
            <w:pPr>
              <w:spacing w:after="0"/>
            </w:pPr>
            <w:r/>
            <w:r>
              <w:rPr>
                <w:rFonts w:ascii="Calibri" w:hAnsi="Calibri"/>
                <w:b w:val="0"/>
                <w:i w:val="0"/>
                <w:color w:val="0B2545"/>
                <w:sz w:val="18"/>
              </w:rPr>
              <w:t>Word (.docx)</w:t>
            </w:r>
          </w:p>
        </w:tc>
        <w:tc>
          <w:tcPr>
            <w:tcW w:type="dxa" w:w="3528"/>
            <w:vAlign w:val="center"/>
            <w:tcMar>
              <w:top w:w="80" w:type="dxa"/>
              <w:bottom w:w="80" w:type="dxa"/>
              <w:start w:w="120" w:type="dxa"/>
              <w:end w:w="120" w:type="dxa"/>
            </w:tcMar>
            <w:shd w:fill="F2F4F7"/>
          </w:tcPr>
          <w:p>
            <w:pPr>
              <w:spacing w:after="0"/>
            </w:pPr>
            <w:r/>
            <w:r>
              <w:rPr>
                <w:rFonts w:ascii="Calibri" w:hAnsi="Calibri"/>
                <w:b w:val="0"/>
                <w:i w:val="0"/>
                <w:color w:val="0B2545"/>
                <w:sz w:val="18"/>
              </w:rPr>
              <w:t>Customers, staff, printing, formal review</w:t>
            </w:r>
          </w:p>
        </w:tc>
        <w:tc>
          <w:tcPr>
            <w:tcW w:type="dxa" w:w="4032"/>
            <w:vAlign w:val="center"/>
            <w:tcMar>
              <w:top w:w="80" w:type="dxa"/>
              <w:bottom w:w="80" w:type="dxa"/>
              <w:start w:w="120" w:type="dxa"/>
              <w:end w:w="120" w:type="dxa"/>
            </w:tcMar>
            <w:shd w:fill="F2F4F7"/>
          </w:tcPr>
          <w:p>
            <w:pPr>
              <w:spacing w:after="0"/>
            </w:pPr>
            <w:r/>
            <w:r>
              <w:rPr>
                <w:rFonts w:ascii="Calibri" w:hAnsi="Calibri"/>
                <w:b w:val="0"/>
                <w:i w:val="0"/>
                <w:color w:val="0B2545"/>
                <w:sz w:val="18"/>
              </w:rPr>
              <w:t>Readable, polished, easy to share outside the repository</w:t>
            </w:r>
          </w:p>
        </w:tc>
      </w:tr>
    </w:tbl>
    <w:p>
      <w:pPr>
        <w:pStyle w:val="Heading1"/>
      </w:pPr>
      <w:r>
        <w:t>2. Establish sources of truth</w:t>
      </w:r>
    </w:p>
    <w:p>
      <w:r>
        <w:t>Give AI an explicit evidence order. This prevents a convenient document or old comment from overriding the implemented behavior.</w:t>
      </w:r>
    </w:p>
    <w:p>
      <w:pPr>
        <w:pStyle w:val="ListNumber"/>
      </w:pPr>
      <w:r>
        <w:t>Current source code and deployed configuration</w:t>
      </w:r>
    </w:p>
    <w:p>
      <w:pPr>
        <w:pStyle w:val="ListNumber"/>
      </w:pPr>
      <w:r>
        <w:t>Database migrations and the live schema</w:t>
      </w:r>
    </w:p>
    <w:p>
      <w:pPr>
        <w:pStyle w:val="ListNumber"/>
      </w:pPr>
      <w:r>
        <w:t>Automated tests and reproducible runtime behavior</w:t>
      </w:r>
    </w:p>
    <w:p>
      <w:pPr>
        <w:pStyle w:val="ListNumber"/>
      </w:pPr>
      <w:r>
        <w:t>Maintained architecture/workflow documentation</w:t>
      </w:r>
    </w:p>
    <w:p>
      <w:pPr>
        <w:pStyle w:val="ListNumber"/>
      </w:pPr>
      <w:r>
        <w:t>Comments, old documents, screenshots, and assumptions</w:t>
      </w:r>
    </w:p>
    <w:tbl>
      <w:tblPr>
        <w:tblW w:type="auto" w:w="0"/>
        <w:jc w:val="center"/>
        <w:tblLayout w:type="fixed"/>
        <w:tblLook w:firstColumn="1" w:firstRow="1" w:lastColumn="0" w:lastRow="0" w:noHBand="0" w:noVBand="1" w:val="04A0"/>
      </w:tblPr>
      <w:tblGrid>
        <w:gridCol w:w="9360"/>
      </w:tblGrid>
      <w:tr>
        <w:tc>
          <w:tcPr>
            <w:tcW w:type="dxa" w:w="9360"/>
            <w:shd w:fill="E9F7EF"/>
            <w:tcMar>
              <w:top w:w="140" w:type="dxa"/>
              <w:bottom w:w="140" w:type="dxa"/>
              <w:start w:w="160" w:type="dxa"/>
              <w:end w:w="160" w:type="dxa"/>
            </w:tcMar>
          </w:tcPr>
          <w:p>
            <w:pPr>
              <w:spacing w:after="60"/>
            </w:pPr>
            <w:r>
              <w:rPr>
                <w:rFonts w:ascii="Calibri" w:hAnsi="Calibri"/>
                <w:b/>
                <w:i w:val="0"/>
                <w:color w:val="2E74B5"/>
                <w:sz w:val="22"/>
              </w:rPr>
              <w:t>Conflict rule</w:t>
            </w:r>
          </w:p>
          <w:p>
            <w:pPr>
              <w:spacing w:after="0"/>
            </w:pPr>
            <w:r>
              <w:rPr>
                <w:rFonts w:ascii="Calibri" w:hAnsi="Calibri"/>
                <w:b w:val="0"/>
                <w:i w:val="0"/>
                <w:color w:val="0B2545"/>
                <w:sz w:val="21"/>
              </w:rPr>
              <w:t>If documentation conflicts with implementation, AI should report the conflict, use the code and migrations as the present-state authority, and propose a documentation update.</w:t>
            </w:r>
          </w:p>
        </w:tc>
      </w:tr>
    </w:tbl>
    <w:p>
      <w:pPr>
        <w:pStyle w:val="Heading1"/>
      </w:pPr>
      <w:r>
        <w:t>3. Add repository-level AI instructions</w:t>
      </w:r>
    </w:p>
    <w:p>
      <w:r>
        <w:t>Place a short instruction in AGENTS.md so every AI coding task receives the same guidance. Keep it short enough that it remains useful rather than becoming background noise.</w:t>
      </w:r>
    </w:p>
    <w:tbl>
      <w:tblPr>
        <w:tblW w:type="auto" w:w="0"/>
        <w:jc w:val="center"/>
        <w:tblLayout w:type="fixed"/>
        <w:tblLook w:firstColumn="1" w:firstRow="1" w:lastColumn="0" w:lastRow="0" w:noHBand="0" w:noVBand="1" w:val="04A0"/>
      </w:tblPr>
      <w:tblGrid>
        <w:gridCol w:w="9360"/>
      </w:tblGrid>
      <w:tr>
        <w:tc>
          <w:tcPr>
            <w:tcW w:type="dxa" w:w="9360"/>
            <w:shd w:fill="E8EEF5"/>
            <w:tcMar>
              <w:top w:w="140" w:type="dxa"/>
              <w:bottom w:w="140" w:type="dxa"/>
              <w:start w:w="160" w:type="dxa"/>
              <w:end w:w="160" w:type="dxa"/>
            </w:tcMar>
          </w:tcPr>
          <w:p>
            <w:pPr>
              <w:spacing w:after="60"/>
            </w:pPr>
            <w:r>
              <w:rPr>
                <w:rFonts w:ascii="Calibri" w:hAnsi="Calibri"/>
                <w:b/>
                <w:i w:val="0"/>
                <w:color w:val="2E74B5"/>
                <w:sz w:val="22"/>
              </w:rPr>
              <w:t>Suggested AGENTS.md instruction</w:t>
            </w:r>
          </w:p>
          <w:p>
            <w:pPr>
              <w:spacing w:after="0"/>
            </w:pPr>
            <w:r>
              <w:rPr>
                <w:rFonts w:ascii="Calibri" w:hAnsi="Calibri"/>
                <w:b w:val="0"/>
                <w:i w:val="0"/>
                <w:color w:val="0B2545"/>
                <w:sz w:val="21"/>
              </w:rPr>
              <w:t>Before modifying enrollment, scheduling, fees, payments, balances, or multi-tenant database behavior, read Docs/ClassLift Database Design and Course Enrollment Workflows.md. Treat current source code, migrations, and tests as authoritative if the document conflicts with implementation.</w:t>
            </w:r>
          </w:p>
        </w:tc>
      </w:tr>
    </w:tbl>
    <w:p>
      <w:pPr>
        <w:pStyle w:val="Heading2"/>
      </w:pPr>
      <w:r>
        <w:t>What AGENTS.md should also contain</w:t>
      </w:r>
    </w:p>
    <w:p>
      <w:pPr>
        <w:pStyle w:val="ListBullet"/>
      </w:pPr>
      <w:r>
        <w:t>Commands to build and test the solution.</w:t>
      </w:r>
    </w:p>
    <w:p>
      <w:pPr>
        <w:pStyle w:val="ListBullet"/>
      </w:pPr>
      <w:r>
        <w:t>Files or generated artifacts that should not be edited manually.</w:t>
      </w:r>
    </w:p>
    <w:p>
      <w:pPr>
        <w:pStyle w:val="ListBullet"/>
      </w:pPr>
      <w:r>
        <w:t>Tenant-isolation and authorization rules that must never be bypassed.</w:t>
      </w:r>
    </w:p>
    <w:p>
      <w:pPr>
        <w:pStyle w:val="ListBullet"/>
      </w:pPr>
      <w:r>
        <w:t>Required validation for database migrations and financial workflows.</w:t>
      </w:r>
    </w:p>
    <w:p>
      <w:pPr>
        <w:pStyle w:val="ListBullet"/>
      </w:pPr>
      <w:r>
        <w:t>Local conventions for naming, status values, time zones, and audit fields.</w:t>
      </w:r>
    </w:p>
    <w:p>
      <w:pPr>
        <w:pStyle w:val="Heading2"/>
      </w:pPr>
      <w:r>
        <w:t>Keep instructions layered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232"/>
            <w:vAlign w:val="center"/>
            <w:tcMar>
              <w:top w:w="80" w:type="dxa"/>
              <w:bottom w:w="80" w:type="dxa"/>
              <w:start w:w="120" w:type="dxa"/>
              <w:end w:w="120" w:type="dxa"/>
            </w:tcMar>
            <w:shd w:fill="2E74B5"/>
          </w:tcPr>
          <w:p>
            <w:pPr>
              <w:spacing w:after="0"/>
            </w:pPr>
            <w:r/>
            <w:r>
              <w:rPr>
                <w:rFonts w:ascii="Calibri" w:hAnsi="Calibri"/>
                <w:b/>
                <w:i w:val="0"/>
                <w:color w:val="FFFFFF"/>
                <w:sz w:val="18"/>
              </w:rPr>
              <w:t>Layer</w:t>
            </w:r>
          </w:p>
        </w:tc>
        <w:tc>
          <w:tcPr>
            <w:tcW w:type="dxa" w:w="7128"/>
            <w:vAlign w:val="center"/>
            <w:tcMar>
              <w:top w:w="80" w:type="dxa"/>
              <w:bottom w:w="80" w:type="dxa"/>
              <w:start w:w="120" w:type="dxa"/>
              <w:end w:w="120" w:type="dxa"/>
            </w:tcMar>
            <w:shd w:fill="2E74B5"/>
          </w:tcPr>
          <w:p>
            <w:pPr>
              <w:spacing w:after="0"/>
            </w:pPr>
            <w:r/>
            <w:r>
              <w:rPr>
                <w:rFonts w:ascii="Calibri" w:hAnsi="Calibri"/>
                <w:b/>
                <w:i w:val="0"/>
                <w:color w:val="FFFFFF"/>
                <w:sz w:val="18"/>
              </w:rPr>
              <w:t>Contents</w:t>
            </w:r>
          </w:p>
        </w:tc>
      </w:tr>
      <w:tr>
        <w:tc>
          <w:tcPr>
            <w:tcW w:type="dxa" w:w="2232"/>
            <w:vAlign w:val="center"/>
            <w:tcMar>
              <w:top w:w="80" w:type="dxa"/>
              <w:bottom w:w="80" w:type="dxa"/>
              <w:start w:w="120" w:type="dxa"/>
              <w:end w:w="120" w:type="dxa"/>
            </w:tcMar>
            <w:shd w:fill="FFFFFF"/>
          </w:tcPr>
          <w:p>
            <w:pPr>
              <w:spacing w:after="0"/>
            </w:pPr>
            <w:r/>
            <w:r>
              <w:rPr>
                <w:rFonts w:ascii="Calibri" w:hAnsi="Calibri"/>
                <w:b w:val="0"/>
                <w:i w:val="0"/>
                <w:color w:val="0B2545"/>
                <w:sz w:val="18"/>
              </w:rPr>
              <w:t>AGENTS.md</w:t>
            </w:r>
          </w:p>
        </w:tc>
        <w:tc>
          <w:tcPr>
            <w:tcW w:type="dxa" w:w="7128"/>
            <w:vAlign w:val="center"/>
            <w:tcMar>
              <w:top w:w="80" w:type="dxa"/>
              <w:bottom w:w="80" w:type="dxa"/>
              <w:start w:w="120" w:type="dxa"/>
              <w:end w:w="120" w:type="dxa"/>
            </w:tcMar>
            <w:shd w:fill="FFFFFF"/>
          </w:tcPr>
          <w:p>
            <w:pPr>
              <w:spacing w:after="0"/>
            </w:pPr>
            <w:r/>
            <w:r>
              <w:rPr>
                <w:rFonts w:ascii="Calibri" w:hAnsi="Calibri"/>
                <w:b w:val="0"/>
                <w:i w:val="0"/>
                <w:color w:val="0B2545"/>
                <w:sz w:val="18"/>
              </w:rPr>
              <w:t>Stable rules that apply to almost every AI task</w:t>
            </w:r>
          </w:p>
        </w:tc>
      </w:tr>
      <w:tr>
        <w:tc>
          <w:tcPr>
            <w:tcW w:type="dxa" w:w="2232"/>
            <w:vAlign w:val="center"/>
            <w:tcMar>
              <w:top w:w="80" w:type="dxa"/>
              <w:bottom w:w="80" w:type="dxa"/>
              <w:start w:w="120" w:type="dxa"/>
              <w:end w:w="120" w:type="dxa"/>
            </w:tcMar>
            <w:shd w:fill="F2F4F7"/>
          </w:tcPr>
          <w:p>
            <w:pPr>
              <w:spacing w:after="0"/>
            </w:pPr>
            <w:r/>
            <w:r>
              <w:rPr>
                <w:rFonts w:ascii="Calibri" w:hAnsi="Calibri"/>
                <w:b w:val="0"/>
                <w:i w:val="0"/>
                <w:color w:val="0B2545"/>
                <w:sz w:val="18"/>
              </w:rPr>
              <w:t>Architecture documents</w:t>
            </w:r>
          </w:p>
        </w:tc>
        <w:tc>
          <w:tcPr>
            <w:tcW w:type="dxa" w:w="7128"/>
            <w:vAlign w:val="center"/>
            <w:tcMar>
              <w:top w:w="80" w:type="dxa"/>
              <w:bottom w:w="80" w:type="dxa"/>
              <w:start w:w="120" w:type="dxa"/>
              <w:end w:w="120" w:type="dxa"/>
            </w:tcMar>
            <w:shd w:fill="F2F4F7"/>
          </w:tcPr>
          <w:p>
            <w:pPr>
              <w:spacing w:after="0"/>
            </w:pPr>
            <w:r/>
            <w:r>
              <w:rPr>
                <w:rFonts w:ascii="Calibri" w:hAnsi="Calibri"/>
                <w:b w:val="0"/>
                <w:i w:val="0"/>
                <w:color w:val="0B2545"/>
                <w:sz w:val="18"/>
              </w:rPr>
              <w:t>System concepts, workflows, boundaries, and business meaning</w:t>
            </w:r>
          </w:p>
        </w:tc>
      </w:tr>
      <w:tr>
        <w:tc>
          <w:tcPr>
            <w:tcW w:type="dxa" w:w="2232"/>
            <w:vAlign w:val="center"/>
            <w:tcMar>
              <w:top w:w="80" w:type="dxa"/>
              <w:bottom w:w="80" w:type="dxa"/>
              <w:start w:w="120" w:type="dxa"/>
              <w:end w:w="120" w:type="dxa"/>
            </w:tcMar>
            <w:shd w:fill="FFFFFF"/>
          </w:tcPr>
          <w:p>
            <w:pPr>
              <w:spacing w:after="0"/>
            </w:pPr>
            <w:r/>
            <w:r>
              <w:rPr>
                <w:rFonts w:ascii="Calibri" w:hAnsi="Calibri"/>
                <w:b w:val="0"/>
                <w:i w:val="0"/>
                <w:color w:val="0B2545"/>
                <w:sz w:val="18"/>
              </w:rPr>
              <w:t>Task prompt</w:t>
            </w:r>
          </w:p>
        </w:tc>
        <w:tc>
          <w:tcPr>
            <w:tcW w:type="dxa" w:w="7128"/>
            <w:vAlign w:val="center"/>
            <w:tcMar>
              <w:top w:w="80" w:type="dxa"/>
              <w:bottom w:w="80" w:type="dxa"/>
              <w:start w:w="120" w:type="dxa"/>
              <w:end w:w="120" w:type="dxa"/>
            </w:tcMar>
            <w:shd w:fill="FFFFFF"/>
          </w:tcPr>
          <w:p>
            <w:pPr>
              <w:spacing w:after="0"/>
            </w:pPr>
            <w:r/>
            <w:r>
              <w:rPr>
                <w:rFonts w:ascii="Calibri" w:hAnsi="Calibri"/>
                <w:b w:val="0"/>
                <w:i w:val="0"/>
                <w:color w:val="0B2545"/>
                <w:sz w:val="18"/>
              </w:rPr>
              <w:t>The exact outcome, scope, constraints, and acceptance criteria for today’s work</w:t>
            </w:r>
          </w:p>
        </w:tc>
      </w:tr>
      <w:tr>
        <w:tc>
          <w:tcPr>
            <w:tcW w:type="dxa" w:w="2232"/>
            <w:vAlign w:val="center"/>
            <w:tcMar>
              <w:top w:w="80" w:type="dxa"/>
              <w:bottom w:w="80" w:type="dxa"/>
              <w:start w:w="120" w:type="dxa"/>
              <w:end w:w="120" w:type="dxa"/>
            </w:tcMar>
            <w:shd w:fill="F2F4F7"/>
          </w:tcPr>
          <w:p>
            <w:pPr>
              <w:spacing w:after="0"/>
            </w:pPr>
            <w:r/>
            <w:r>
              <w:rPr>
                <w:rFonts w:ascii="Calibri" w:hAnsi="Calibri"/>
                <w:b w:val="0"/>
                <w:i w:val="0"/>
                <w:color w:val="0B2545"/>
                <w:sz w:val="18"/>
              </w:rPr>
              <w:t>Code and tests</w:t>
            </w:r>
          </w:p>
        </w:tc>
        <w:tc>
          <w:tcPr>
            <w:tcW w:type="dxa" w:w="7128"/>
            <w:vAlign w:val="center"/>
            <w:tcMar>
              <w:top w:w="80" w:type="dxa"/>
              <w:bottom w:w="80" w:type="dxa"/>
              <w:start w:w="120" w:type="dxa"/>
              <w:end w:w="120" w:type="dxa"/>
            </w:tcMar>
            <w:shd w:fill="F2F4F7"/>
          </w:tcPr>
          <w:p>
            <w:pPr>
              <w:spacing w:after="0"/>
            </w:pPr>
            <w:r/>
            <w:r>
              <w:rPr>
                <w:rFonts w:ascii="Calibri" w:hAnsi="Calibri"/>
                <w:b w:val="0"/>
                <w:i w:val="0"/>
                <w:color w:val="0B2545"/>
                <w:sz w:val="18"/>
              </w:rPr>
              <w:t>Current executable truth and verification evidence</w:t>
            </w:r>
          </w:p>
        </w:tc>
      </w:tr>
    </w:tbl>
    <w:p>
      <w:pPr>
        <w:pStyle w:val="Heading1"/>
      </w:pPr>
      <w:r>
        <w:t>4. Write effective AI requests</w:t>
      </w:r>
    </w:p>
    <w:p>
      <w:r>
        <w:t>A strong request describes the outcome and boundaries without trying to prescribe every implementation detail. Ask the AI to inspect first, preserve unrelated work, implement only the requested scope, and verify proportionately to risk.</w:t>
      </w:r>
    </w:p>
    <w:p>
      <w:pPr>
        <w:pStyle w:val="Heading2"/>
      </w:pPr>
      <w:r>
        <w:t>Recommended prompt structure</w:t>
      </w:r>
    </w:p>
    <w:p>
      <w:pPr>
        <w:pStyle w:val="ListBullet"/>
      </w:pPr>
      <w:r>
        <w:t>Context: identify the page, workflow, user role, tenant behavior, and relevant documentation.</w:t>
      </w:r>
    </w:p>
    <w:p>
      <w:pPr>
        <w:pStyle w:val="ListBullet"/>
      </w:pPr>
      <w:r>
        <w:t>Outcome: state what the user should be able to do after the change.</w:t>
      </w:r>
    </w:p>
    <w:p>
      <w:pPr>
        <w:pStyle w:val="ListBullet"/>
      </w:pPr>
      <w:r>
        <w:t>Scope: name the areas allowed to change and anything explicitly out of scope.</w:t>
      </w:r>
    </w:p>
    <w:p>
      <w:pPr>
        <w:pStyle w:val="ListBullet"/>
      </w:pPr>
      <w:r>
        <w:t>Business rules: describe permissions, statuses, billing rules, and edge cases.</w:t>
      </w:r>
    </w:p>
    <w:p>
      <w:pPr>
        <w:pStyle w:val="ListBullet"/>
      </w:pPr>
      <w:r>
        <w:t>Acceptance criteria: provide observable conditions for success.</w:t>
      </w:r>
    </w:p>
    <w:p>
      <w:pPr>
        <w:pStyle w:val="ListBullet"/>
      </w:pPr>
      <w:r>
        <w:t>Verification: request targeted tests, build checks, and a concise summary of risks or assumptions.</w:t>
      </w:r>
    </w:p>
    <w:tbl>
      <w:tblPr>
        <w:tblW w:type="auto" w:w="0"/>
        <w:jc w:val="center"/>
        <w:tblLayout w:type="fixed"/>
        <w:tblLook w:firstColumn="1" w:firstRow="1" w:lastColumn="0" w:lastRow="0" w:noHBand="0" w:noVBand="1" w:val="04A0"/>
      </w:tblPr>
      <w:tblGrid>
        <w:gridCol w:w="9360"/>
      </w:tblGrid>
      <w:tr>
        <w:tc>
          <w:tcPr>
            <w:tcW w:type="dxa" w:w="9360"/>
            <w:shd w:fill="E9F7EF"/>
            <w:tcMar>
              <w:top w:w="140" w:type="dxa"/>
              <w:bottom w:w="140" w:type="dxa"/>
              <w:start w:w="160" w:type="dxa"/>
              <w:end w:w="160" w:type="dxa"/>
            </w:tcMar>
          </w:tcPr>
          <w:p>
            <w:pPr>
              <w:spacing w:after="60"/>
            </w:pPr>
            <w:r>
              <w:rPr>
                <w:rFonts w:ascii="Calibri" w:hAnsi="Calibri"/>
                <w:b/>
                <w:i w:val="0"/>
                <w:color w:val="2E74B5"/>
                <w:sz w:val="22"/>
              </w:rPr>
              <w:t>Example request</w:t>
            </w:r>
          </w:p>
          <w:p>
            <w:pPr>
              <w:spacing w:after="0"/>
            </w:pPr>
            <w:r>
              <w:rPr>
                <w:rFonts w:ascii="Calibri" w:hAnsi="Calibri"/>
                <w:b w:val="0"/>
                <w:i w:val="0"/>
                <w:color w:val="0B2545"/>
                <w:sz w:val="21"/>
              </w:rPr>
              <w:t>In /Coach/ViewEnrollments/, let a coach edit only their own CoachNote. Initially show the note read-only with an Edit link. When Edit is clicked, show an edit box and Save button and hide Edit. Reuse the completed save logic. Preserve tenant isolation and authorization. Inspect the current implementation, make the smallest scoped change, and run relevant tests.</w:t>
            </w:r>
          </w:p>
        </w:tc>
      </w:tr>
    </w:tbl>
    <w:p>
      <w:pPr>
        <w:pStyle w:val="Heading1"/>
      </w:pPr>
      <w:r>
        <w:t>5. Use AI safely for code and database changes</w:t>
      </w:r>
    </w:p>
    <w:p>
      <w:pPr>
        <w:pStyle w:val="Heading2"/>
      </w:pPr>
      <w:r>
        <w:t>Before implementation</w:t>
      </w:r>
    </w:p>
    <w:p>
      <w:pPr>
        <w:pStyle w:val="ListBullet"/>
      </w:pPr>
      <w:r>
        <w:t>Ask AI to trace the end-to-end controller, service, repository, entity, and view flow.</w:t>
      </w:r>
    </w:p>
    <w:p>
      <w:pPr>
        <w:pStyle w:val="ListBullet"/>
      </w:pPr>
      <w:r>
        <w:t>Require it to identify authorization, tenant-resolution, payment, time-zone, and transaction effects.</w:t>
      </w:r>
    </w:p>
    <w:p>
      <w:pPr>
        <w:pStyle w:val="ListBullet"/>
      </w:pPr>
      <w:r>
        <w:t>Ask it to inspect existing uncommitted changes and avoid overwriting unrelated work.</w:t>
      </w:r>
    </w:p>
    <w:p>
      <w:pPr>
        <w:pStyle w:val="ListBullet"/>
      </w:pPr>
      <w:r>
        <w:t>For ambiguous business behavior, request options and tradeoffs before schema or production changes.</w:t>
      </w:r>
    </w:p>
    <w:p>
      <w:pPr>
        <w:pStyle w:val="Heading2"/>
      </w:pPr>
      <w:r>
        <w:t>During implementation</w:t>
      </w:r>
    </w:p>
    <w:p>
      <w:pPr>
        <w:pStyle w:val="ListBullet"/>
      </w:pPr>
      <w:r>
        <w:t>Prefer small changes with clear ownership and rollback.</w:t>
      </w:r>
    </w:p>
    <w:p>
      <w:pPr>
        <w:pStyle w:val="ListBullet"/>
      </w:pPr>
      <w:r>
        <w:t>Keep tenant resolution before authentication and business queries.</w:t>
      </w:r>
    </w:p>
    <w:p>
      <w:pPr>
        <w:pStyle w:val="ListBullet"/>
      </w:pPr>
      <w:r>
        <w:t>Treat money, balances, confirmation, and fan-out inserts as high-risk workflows.</w:t>
      </w:r>
    </w:p>
    <w:p>
      <w:pPr>
        <w:pStyle w:val="ListBullet"/>
      </w:pPr>
      <w:r>
        <w:t>Use database transactions and idempotency where one business action spans multiple writes.</w:t>
      </w:r>
    </w:p>
    <w:p>
      <w:pPr>
        <w:pStyle w:val="ListBullet"/>
      </w:pPr>
      <w:r>
        <w:t>Do not let AI invent status values, relationships, or plan entitlements without evidence.</w:t>
      </w:r>
    </w:p>
    <w:p>
      <w:pPr>
        <w:pStyle w:val="Heading2"/>
      </w:pPr>
      <w:r>
        <w:t>Before accepting the result</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088"/>
            <w:vAlign w:val="center"/>
            <w:tcMar>
              <w:top w:w="80" w:type="dxa"/>
              <w:bottom w:w="80" w:type="dxa"/>
              <w:start w:w="120" w:type="dxa"/>
              <w:end w:w="120" w:type="dxa"/>
            </w:tcMar>
            <w:shd w:fill="2E74B5"/>
          </w:tcPr>
          <w:p>
            <w:pPr>
              <w:spacing w:after="0"/>
            </w:pPr>
            <w:r/>
            <w:r>
              <w:rPr>
                <w:rFonts w:ascii="Calibri" w:hAnsi="Calibri"/>
                <w:b/>
                <w:i w:val="0"/>
                <w:color w:val="FFFFFF"/>
                <w:sz w:val="18"/>
              </w:rPr>
              <w:t>Check</w:t>
            </w:r>
          </w:p>
        </w:tc>
        <w:tc>
          <w:tcPr>
            <w:tcW w:type="dxa" w:w="7272"/>
            <w:vAlign w:val="center"/>
            <w:tcMar>
              <w:top w:w="80" w:type="dxa"/>
              <w:bottom w:w="80" w:type="dxa"/>
              <w:start w:w="120" w:type="dxa"/>
              <w:end w:w="120" w:type="dxa"/>
            </w:tcMar>
            <w:shd w:fill="2E74B5"/>
          </w:tcPr>
          <w:p>
            <w:pPr>
              <w:spacing w:after="0"/>
            </w:pPr>
            <w:r/>
            <w:r>
              <w:rPr>
                <w:rFonts w:ascii="Calibri" w:hAnsi="Calibri"/>
                <w:b/>
                <w:i w:val="0"/>
                <w:color w:val="FFFFFF"/>
                <w:sz w:val="18"/>
              </w:rPr>
              <w:t>Evidence to request</w:t>
            </w:r>
          </w:p>
        </w:tc>
      </w:tr>
      <w:tr>
        <w:tc>
          <w:tcPr>
            <w:tcW w:type="dxa" w:w="2088"/>
            <w:vAlign w:val="center"/>
            <w:tcMar>
              <w:top w:w="80" w:type="dxa"/>
              <w:bottom w:w="80" w:type="dxa"/>
              <w:start w:w="120" w:type="dxa"/>
              <w:end w:w="120" w:type="dxa"/>
            </w:tcMar>
            <w:shd w:fill="FFFFFF"/>
          </w:tcPr>
          <w:p>
            <w:pPr>
              <w:spacing w:after="0"/>
            </w:pPr>
            <w:r/>
            <w:r>
              <w:rPr>
                <w:rFonts w:ascii="Calibri" w:hAnsi="Calibri"/>
                <w:b w:val="0"/>
                <w:i w:val="0"/>
                <w:color w:val="0B2545"/>
                <w:sz w:val="18"/>
              </w:rPr>
              <w:t>Correctness</w:t>
            </w:r>
          </w:p>
        </w:tc>
        <w:tc>
          <w:tcPr>
            <w:tcW w:type="dxa" w:w="7272"/>
            <w:vAlign w:val="center"/>
            <w:tcMar>
              <w:top w:w="80" w:type="dxa"/>
              <w:bottom w:w="80" w:type="dxa"/>
              <w:start w:w="120" w:type="dxa"/>
              <w:end w:w="120" w:type="dxa"/>
            </w:tcMar>
            <w:shd w:fill="FFFFFF"/>
          </w:tcPr>
          <w:p>
            <w:pPr>
              <w:spacing w:after="0"/>
            </w:pPr>
            <w:r/>
            <w:r>
              <w:rPr>
                <w:rFonts w:ascii="Calibri" w:hAnsi="Calibri"/>
                <w:b w:val="0"/>
                <w:i w:val="0"/>
                <w:color w:val="0B2545"/>
                <w:sz w:val="18"/>
              </w:rPr>
              <w:t>Relevant tests pass; the changed workflow is demonstrated</w:t>
            </w:r>
          </w:p>
        </w:tc>
      </w:tr>
      <w:tr>
        <w:tc>
          <w:tcPr>
            <w:tcW w:type="dxa" w:w="2088"/>
            <w:vAlign w:val="center"/>
            <w:tcMar>
              <w:top w:w="80" w:type="dxa"/>
              <w:bottom w:w="80" w:type="dxa"/>
              <w:start w:w="120" w:type="dxa"/>
              <w:end w:w="120" w:type="dxa"/>
            </w:tcMar>
            <w:shd w:fill="F2F4F7"/>
          </w:tcPr>
          <w:p>
            <w:pPr>
              <w:spacing w:after="0"/>
            </w:pPr>
            <w:r/>
            <w:r>
              <w:rPr>
                <w:rFonts w:ascii="Calibri" w:hAnsi="Calibri"/>
                <w:b w:val="0"/>
                <w:i w:val="0"/>
                <w:color w:val="0B2545"/>
                <w:sz w:val="18"/>
              </w:rPr>
              <w:t>Security</w:t>
            </w:r>
          </w:p>
        </w:tc>
        <w:tc>
          <w:tcPr>
            <w:tcW w:type="dxa" w:w="7272"/>
            <w:vAlign w:val="center"/>
            <w:tcMar>
              <w:top w:w="80" w:type="dxa"/>
              <w:bottom w:w="80" w:type="dxa"/>
              <w:start w:w="120" w:type="dxa"/>
              <w:end w:w="120" w:type="dxa"/>
            </w:tcMar>
            <w:shd w:fill="F2F4F7"/>
          </w:tcPr>
          <w:p>
            <w:pPr>
              <w:spacing w:after="0"/>
            </w:pPr>
            <w:r/>
            <w:r>
              <w:rPr>
                <w:rFonts w:ascii="Calibri" w:hAnsi="Calibri"/>
                <w:b w:val="0"/>
                <w:i w:val="0"/>
                <w:color w:val="0B2545"/>
                <w:sz w:val="18"/>
              </w:rPr>
              <w:t>Role, ownership, anti-forgery, and tenant boundaries are preserved</w:t>
            </w:r>
          </w:p>
        </w:tc>
      </w:tr>
      <w:tr>
        <w:tc>
          <w:tcPr>
            <w:tcW w:type="dxa" w:w="2088"/>
            <w:vAlign w:val="center"/>
            <w:tcMar>
              <w:top w:w="80" w:type="dxa"/>
              <w:bottom w:w="80" w:type="dxa"/>
              <w:start w:w="120" w:type="dxa"/>
              <w:end w:w="120" w:type="dxa"/>
            </w:tcMar>
            <w:shd w:fill="FFFFFF"/>
          </w:tcPr>
          <w:p>
            <w:pPr>
              <w:spacing w:after="0"/>
            </w:pPr>
            <w:r/>
            <w:r>
              <w:rPr>
                <w:rFonts w:ascii="Calibri" w:hAnsi="Calibri"/>
                <w:b w:val="0"/>
                <w:i w:val="0"/>
                <w:color w:val="0B2545"/>
                <w:sz w:val="18"/>
              </w:rPr>
              <w:t>Data integrity</w:t>
            </w:r>
          </w:p>
        </w:tc>
        <w:tc>
          <w:tcPr>
            <w:tcW w:type="dxa" w:w="7272"/>
            <w:vAlign w:val="center"/>
            <w:tcMar>
              <w:top w:w="80" w:type="dxa"/>
              <w:bottom w:w="80" w:type="dxa"/>
              <w:start w:w="120" w:type="dxa"/>
              <w:end w:w="120" w:type="dxa"/>
            </w:tcMar>
            <w:shd w:fill="FFFFFF"/>
          </w:tcPr>
          <w:p>
            <w:pPr>
              <w:spacing w:after="0"/>
            </w:pPr>
            <w:r/>
            <w:r>
              <w:rPr>
                <w:rFonts w:ascii="Calibri" w:hAnsi="Calibri"/>
                <w:b w:val="0"/>
                <w:i w:val="0"/>
                <w:color w:val="0B2545"/>
                <w:sz w:val="18"/>
              </w:rPr>
              <w:t>Insert/update sequence, transaction behavior, and retry behavior are explained</w:t>
            </w:r>
          </w:p>
        </w:tc>
      </w:tr>
      <w:tr>
        <w:tc>
          <w:tcPr>
            <w:tcW w:type="dxa" w:w="2088"/>
            <w:vAlign w:val="center"/>
            <w:tcMar>
              <w:top w:w="80" w:type="dxa"/>
              <w:bottom w:w="80" w:type="dxa"/>
              <w:start w:w="120" w:type="dxa"/>
              <w:end w:w="120" w:type="dxa"/>
            </w:tcMar>
            <w:shd w:fill="F2F4F7"/>
          </w:tcPr>
          <w:p>
            <w:pPr>
              <w:spacing w:after="0"/>
            </w:pPr>
            <w:r/>
            <w:r>
              <w:rPr>
                <w:rFonts w:ascii="Calibri" w:hAnsi="Calibri"/>
                <w:b w:val="0"/>
                <w:i w:val="0"/>
                <w:color w:val="0B2545"/>
                <w:sz w:val="18"/>
              </w:rPr>
              <w:t>Regression risk</w:t>
            </w:r>
          </w:p>
        </w:tc>
        <w:tc>
          <w:tcPr>
            <w:tcW w:type="dxa" w:w="7272"/>
            <w:vAlign w:val="center"/>
            <w:tcMar>
              <w:top w:w="80" w:type="dxa"/>
              <w:bottom w:w="80" w:type="dxa"/>
              <w:start w:w="120" w:type="dxa"/>
              <w:end w:w="120" w:type="dxa"/>
            </w:tcMar>
            <w:shd w:fill="F2F4F7"/>
          </w:tcPr>
          <w:p>
            <w:pPr>
              <w:spacing w:after="0"/>
            </w:pPr>
            <w:r/>
            <w:r>
              <w:rPr>
                <w:rFonts w:ascii="Calibri" w:hAnsi="Calibri"/>
                <w:b w:val="0"/>
                <w:i w:val="0"/>
                <w:color w:val="0B2545"/>
                <w:sz w:val="18"/>
              </w:rPr>
              <w:t>Unrelated tests/build succeed or limitations are explicitly stated</w:t>
            </w:r>
          </w:p>
        </w:tc>
      </w:tr>
      <w:tr>
        <w:tc>
          <w:tcPr>
            <w:tcW w:type="dxa" w:w="2088"/>
            <w:vAlign w:val="center"/>
            <w:tcMar>
              <w:top w:w="80" w:type="dxa"/>
              <w:bottom w:w="80" w:type="dxa"/>
              <w:start w:w="120" w:type="dxa"/>
              <w:end w:w="120" w:type="dxa"/>
            </w:tcMar>
            <w:shd w:fill="FFFFFF"/>
          </w:tcPr>
          <w:p>
            <w:pPr>
              <w:spacing w:after="0"/>
            </w:pPr>
            <w:r/>
            <w:r>
              <w:rPr>
                <w:rFonts w:ascii="Calibri" w:hAnsi="Calibri"/>
                <w:b w:val="0"/>
                <w:i w:val="0"/>
                <w:color w:val="0B2545"/>
                <w:sz w:val="18"/>
              </w:rPr>
              <w:t>Documentation</w:t>
            </w:r>
          </w:p>
        </w:tc>
        <w:tc>
          <w:tcPr>
            <w:tcW w:type="dxa" w:w="7272"/>
            <w:vAlign w:val="center"/>
            <w:tcMar>
              <w:top w:w="80" w:type="dxa"/>
              <w:bottom w:w="80" w:type="dxa"/>
              <w:start w:w="120" w:type="dxa"/>
              <w:end w:w="120" w:type="dxa"/>
            </w:tcMar>
            <w:shd w:fill="FFFFFF"/>
          </w:tcPr>
          <w:p>
            <w:pPr>
              <w:spacing w:after="0"/>
            </w:pPr>
            <w:r/>
            <w:r>
              <w:rPr>
                <w:rFonts w:ascii="Calibri" w:hAnsi="Calibri"/>
                <w:b w:val="0"/>
                <w:i w:val="0"/>
                <w:color w:val="0B2545"/>
                <w:sz w:val="18"/>
              </w:rPr>
              <w:t>Architecture or workflow docs are updated when behavior changed</w:t>
            </w:r>
          </w:p>
        </w:tc>
      </w:tr>
    </w:tbl>
    <w:tbl>
      <w:tblPr>
        <w:tblW w:type="auto" w:w="0"/>
        <w:jc w:val="center"/>
        <w:tblLayout w:type="fixed"/>
        <w:tblLook w:firstColumn="1" w:firstRow="1" w:lastColumn="0" w:lastRow="0" w:noHBand="0" w:noVBand="1" w:val="04A0"/>
      </w:tblPr>
      <w:tblGrid>
        <w:gridCol w:w="9360"/>
      </w:tblGrid>
      <w:tr>
        <w:tc>
          <w:tcPr>
            <w:tcW w:type="dxa" w:w="9360"/>
            <w:shd w:fill="FFF4D6"/>
            <w:tcMar>
              <w:top w:w="140" w:type="dxa"/>
              <w:bottom w:w="140" w:type="dxa"/>
              <w:start w:w="160" w:type="dxa"/>
              <w:end w:w="160" w:type="dxa"/>
            </w:tcMar>
          </w:tcPr>
          <w:p>
            <w:pPr>
              <w:spacing w:after="60"/>
            </w:pPr>
            <w:r>
              <w:rPr>
                <w:rFonts w:ascii="Calibri" w:hAnsi="Calibri"/>
                <w:b/>
                <w:i w:val="0"/>
                <w:color w:val="2E74B5"/>
                <w:sz w:val="22"/>
              </w:rPr>
              <w:t>Production rule</w:t>
            </w:r>
          </w:p>
          <w:p>
            <w:pPr>
              <w:spacing w:after="0"/>
            </w:pPr>
            <w:r>
              <w:rPr>
                <w:rFonts w:ascii="Calibri" w:hAnsi="Calibri"/>
                <w:b w:val="0"/>
                <w:i w:val="0"/>
                <w:color w:val="0B2545"/>
                <w:sz w:val="21"/>
              </w:rPr>
              <w:t>Do not approve a production database migration solely because AI generated it. Review the migration, test it against a production-like backup, confirm rollback/recovery, and verify tenant-by-tenant behavior.</w:t>
            </w:r>
          </w:p>
        </w:tc>
      </w:tr>
    </w:tbl>
    <w:p>
      <w:pPr>
        <w:pStyle w:val="Heading1"/>
      </w:pPr>
      <w:r>
        <w:t>6. Maintain an AI-ready documentation set</w:t>
      </w:r>
    </w:p>
    <w:p>
      <w:r>
        <w:t>The database guide is an excellent first document. The next documents should reduce ambiguity in areas where a wrong assumption can cause security, billing, or workflow defects.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936"/>
            <w:vAlign w:val="center"/>
            <w:tcMar>
              <w:top w:w="80" w:type="dxa"/>
              <w:bottom w:w="80" w:type="dxa"/>
              <w:start w:w="120" w:type="dxa"/>
              <w:end w:w="120" w:type="dxa"/>
            </w:tcMar>
            <w:shd w:fill="2E74B5"/>
          </w:tcPr>
          <w:p>
            <w:pPr>
              <w:spacing w:after="0"/>
            </w:pPr>
            <w:r/>
            <w:r>
              <w:rPr>
                <w:rFonts w:ascii="Calibri" w:hAnsi="Calibri"/>
                <w:b/>
                <w:i w:val="0"/>
                <w:color w:val="FFFFFF"/>
                <w:sz w:val="18"/>
              </w:rPr>
              <w:t>Priority</w:t>
            </w:r>
          </w:p>
        </w:tc>
        <w:tc>
          <w:tcPr>
            <w:tcW w:type="dxa" w:w="3384"/>
            <w:vAlign w:val="center"/>
            <w:tcMar>
              <w:top w:w="80" w:type="dxa"/>
              <w:bottom w:w="80" w:type="dxa"/>
              <w:start w:w="120" w:type="dxa"/>
              <w:end w:w="120" w:type="dxa"/>
            </w:tcMar>
            <w:shd w:fill="2E74B5"/>
          </w:tcPr>
          <w:p>
            <w:pPr>
              <w:spacing w:after="0"/>
            </w:pPr>
            <w:r/>
            <w:r>
              <w:rPr>
                <w:rFonts w:ascii="Calibri" w:hAnsi="Calibri"/>
                <w:b/>
                <w:i w:val="0"/>
                <w:color w:val="FFFFFF"/>
                <w:sz w:val="18"/>
              </w:rPr>
              <w:t>Recommended document</w:t>
            </w:r>
          </w:p>
        </w:tc>
        <w:tc>
          <w:tcPr>
            <w:tcW w:type="dxa" w:w="5040"/>
            <w:vAlign w:val="center"/>
            <w:tcMar>
              <w:top w:w="80" w:type="dxa"/>
              <w:bottom w:w="80" w:type="dxa"/>
              <w:start w:w="120" w:type="dxa"/>
              <w:end w:w="120" w:type="dxa"/>
            </w:tcMar>
            <w:shd w:fill="2E74B5"/>
          </w:tcPr>
          <w:p>
            <w:pPr>
              <w:spacing w:after="0"/>
            </w:pPr>
            <w:r/>
            <w:r>
              <w:rPr>
                <w:rFonts w:ascii="Calibri" w:hAnsi="Calibri"/>
                <w:b/>
                <w:i w:val="0"/>
                <w:color w:val="FFFFFF"/>
                <w:sz w:val="18"/>
              </w:rPr>
              <w:t>Why it matters</w:t>
            </w:r>
          </w:p>
        </w:tc>
      </w:tr>
      <w:tr>
        <w:tc>
          <w:tcPr>
            <w:tcW w:type="dxa" w:w="936"/>
            <w:vAlign w:val="center"/>
            <w:tcMar>
              <w:top w:w="80" w:type="dxa"/>
              <w:bottom w:w="80" w:type="dxa"/>
              <w:start w:w="120" w:type="dxa"/>
              <w:end w:w="120" w:type="dxa"/>
            </w:tcMar>
            <w:shd w:fill="FFFFFF"/>
          </w:tcPr>
          <w:p>
            <w:pPr>
              <w:spacing w:after="0"/>
            </w:pPr>
            <w:r/>
            <w:r>
              <w:rPr>
                <w:rFonts w:ascii="Calibri" w:hAnsi="Calibri"/>
                <w:b w:val="0"/>
                <w:i w:val="0"/>
                <w:color w:val="0B2545"/>
                <w:sz w:val="18"/>
              </w:rPr>
              <w:t>1</w:t>
            </w:r>
          </w:p>
        </w:tc>
        <w:tc>
          <w:tcPr>
            <w:tcW w:type="dxa" w:w="3384"/>
            <w:vAlign w:val="center"/>
            <w:tcMar>
              <w:top w:w="80" w:type="dxa"/>
              <w:bottom w:w="80" w:type="dxa"/>
              <w:start w:w="120" w:type="dxa"/>
              <w:end w:w="120" w:type="dxa"/>
            </w:tcMar>
            <w:shd w:fill="FFFFFF"/>
          </w:tcPr>
          <w:p>
            <w:pPr>
              <w:spacing w:after="0"/>
            </w:pPr>
            <w:r/>
            <w:r>
              <w:rPr>
                <w:rFonts w:ascii="Calibri" w:hAnsi="Calibri"/>
                <w:b w:val="0"/>
                <w:i w:val="0"/>
                <w:color w:val="0B2545"/>
                <w:sz w:val="18"/>
              </w:rPr>
              <w:t>Role and permission matrix</w:t>
            </w:r>
          </w:p>
        </w:tc>
        <w:tc>
          <w:tcPr>
            <w:tcW w:type="dxa" w:w="5040"/>
            <w:vAlign w:val="center"/>
            <w:tcMar>
              <w:top w:w="80" w:type="dxa"/>
              <w:bottom w:w="80" w:type="dxa"/>
              <w:start w:w="120" w:type="dxa"/>
              <w:end w:w="120" w:type="dxa"/>
            </w:tcMar>
            <w:shd w:fill="FFFFFF"/>
          </w:tcPr>
          <w:p>
            <w:pPr>
              <w:spacing w:after="0"/>
            </w:pPr>
            <w:r/>
            <w:r>
              <w:rPr>
                <w:rFonts w:ascii="Calibri" w:hAnsi="Calibri"/>
                <w:b w:val="0"/>
                <w:i w:val="0"/>
                <w:color w:val="0B2545"/>
                <w:sz w:val="18"/>
              </w:rPr>
              <w:t>Clarifies who can view, create, edit, confirm, and delete each resource</w:t>
            </w:r>
          </w:p>
        </w:tc>
      </w:tr>
      <w:tr>
        <w:tc>
          <w:tcPr>
            <w:tcW w:type="dxa" w:w="936"/>
            <w:vAlign w:val="center"/>
            <w:tcMar>
              <w:top w:w="80" w:type="dxa"/>
              <w:bottom w:w="80" w:type="dxa"/>
              <w:start w:w="120" w:type="dxa"/>
              <w:end w:w="120" w:type="dxa"/>
            </w:tcMar>
            <w:shd w:fill="F2F4F7"/>
          </w:tcPr>
          <w:p>
            <w:pPr>
              <w:spacing w:after="0"/>
            </w:pPr>
            <w:r/>
            <w:r>
              <w:rPr>
                <w:rFonts w:ascii="Calibri" w:hAnsi="Calibri"/>
                <w:b w:val="0"/>
                <w:i w:val="0"/>
                <w:color w:val="0B2545"/>
                <w:sz w:val="18"/>
              </w:rPr>
              <w:t>2</w:t>
            </w:r>
          </w:p>
        </w:tc>
        <w:tc>
          <w:tcPr>
            <w:tcW w:type="dxa" w:w="3384"/>
            <w:vAlign w:val="center"/>
            <w:tcMar>
              <w:top w:w="80" w:type="dxa"/>
              <w:bottom w:w="80" w:type="dxa"/>
              <w:start w:w="120" w:type="dxa"/>
              <w:end w:w="120" w:type="dxa"/>
            </w:tcMar>
            <w:shd w:fill="F2F4F7"/>
          </w:tcPr>
          <w:p>
            <w:pPr>
              <w:spacing w:after="0"/>
            </w:pPr>
            <w:r/>
            <w:r>
              <w:rPr>
                <w:rFonts w:ascii="Calibri" w:hAnsi="Calibri"/>
                <w:b w:val="0"/>
                <w:i w:val="0"/>
                <w:color w:val="0B2545"/>
                <w:sz w:val="18"/>
              </w:rPr>
              <w:t>Feature and plan entitlement matrix</w:t>
            </w:r>
          </w:p>
        </w:tc>
        <w:tc>
          <w:tcPr>
            <w:tcW w:type="dxa" w:w="5040"/>
            <w:vAlign w:val="center"/>
            <w:tcMar>
              <w:top w:w="80" w:type="dxa"/>
              <w:bottom w:w="80" w:type="dxa"/>
              <w:start w:w="120" w:type="dxa"/>
              <w:end w:w="120" w:type="dxa"/>
            </w:tcMar>
            <w:shd w:fill="F2F4F7"/>
          </w:tcPr>
          <w:p>
            <w:pPr>
              <w:spacing w:after="0"/>
            </w:pPr>
            <w:r/>
            <w:r>
              <w:rPr>
                <w:rFonts w:ascii="Calibri" w:hAnsi="Calibri"/>
                <w:b w:val="0"/>
                <w:i w:val="0"/>
                <w:color w:val="0B2545"/>
                <w:sz w:val="18"/>
              </w:rPr>
              <w:t>Prevents Starter/Growth/Pro behavior from drifting</w:t>
            </w:r>
          </w:p>
        </w:tc>
      </w:tr>
      <w:tr>
        <w:tc>
          <w:tcPr>
            <w:tcW w:type="dxa" w:w="936"/>
            <w:vAlign w:val="center"/>
            <w:tcMar>
              <w:top w:w="80" w:type="dxa"/>
              <w:bottom w:w="80" w:type="dxa"/>
              <w:start w:w="120" w:type="dxa"/>
              <w:end w:w="120" w:type="dxa"/>
            </w:tcMar>
            <w:shd w:fill="FFFFFF"/>
          </w:tcPr>
          <w:p>
            <w:pPr>
              <w:spacing w:after="0"/>
            </w:pPr>
            <w:r/>
            <w:r>
              <w:rPr>
                <w:rFonts w:ascii="Calibri" w:hAnsi="Calibri"/>
                <w:b w:val="0"/>
                <w:i w:val="0"/>
                <w:color w:val="0B2545"/>
                <w:sz w:val="18"/>
              </w:rPr>
              <w:t>3</w:t>
            </w:r>
          </w:p>
        </w:tc>
        <w:tc>
          <w:tcPr>
            <w:tcW w:type="dxa" w:w="3384"/>
            <w:vAlign w:val="center"/>
            <w:tcMar>
              <w:top w:w="80" w:type="dxa"/>
              <w:bottom w:w="80" w:type="dxa"/>
              <w:start w:w="120" w:type="dxa"/>
              <w:end w:w="120" w:type="dxa"/>
            </w:tcMar>
            <w:shd w:fill="FFFFFF"/>
          </w:tcPr>
          <w:p>
            <w:pPr>
              <w:spacing w:after="0"/>
            </w:pPr>
            <w:r/>
            <w:r>
              <w:rPr>
                <w:rFonts w:ascii="Calibri" w:hAnsi="Calibri"/>
                <w:b w:val="0"/>
                <w:i w:val="0"/>
                <w:color w:val="0B2545"/>
                <w:sz w:val="18"/>
              </w:rPr>
              <w:t>Enrollment status-transition rules</w:t>
            </w:r>
          </w:p>
        </w:tc>
        <w:tc>
          <w:tcPr>
            <w:tcW w:type="dxa" w:w="5040"/>
            <w:vAlign w:val="center"/>
            <w:tcMar>
              <w:top w:w="80" w:type="dxa"/>
              <w:bottom w:w="80" w:type="dxa"/>
              <w:start w:w="120" w:type="dxa"/>
              <w:end w:w="120" w:type="dxa"/>
            </w:tcMar>
            <w:shd w:fill="FFFFFF"/>
          </w:tcPr>
          <w:p>
            <w:pPr>
              <w:spacing w:after="0"/>
            </w:pPr>
            <w:r/>
            <w:r>
              <w:rPr>
                <w:rFonts w:ascii="Calibri" w:hAnsi="Calibri"/>
                <w:b w:val="0"/>
                <w:i w:val="0"/>
                <w:color w:val="0B2545"/>
                <w:sz w:val="18"/>
              </w:rPr>
              <w:t>Defines allowed state changes for roots, masters, and child sessions</w:t>
            </w:r>
          </w:p>
        </w:tc>
      </w:tr>
      <w:tr>
        <w:tc>
          <w:tcPr>
            <w:tcW w:type="dxa" w:w="936"/>
            <w:vAlign w:val="center"/>
            <w:tcMar>
              <w:top w:w="80" w:type="dxa"/>
              <w:bottom w:w="80" w:type="dxa"/>
              <w:start w:w="120" w:type="dxa"/>
              <w:end w:w="120" w:type="dxa"/>
            </w:tcMar>
            <w:shd w:fill="F2F4F7"/>
          </w:tcPr>
          <w:p>
            <w:pPr>
              <w:spacing w:after="0"/>
            </w:pPr>
            <w:r/>
            <w:r>
              <w:rPr>
                <w:rFonts w:ascii="Calibri" w:hAnsi="Calibri"/>
                <w:b w:val="0"/>
                <w:i w:val="0"/>
                <w:color w:val="0B2545"/>
                <w:sz w:val="18"/>
              </w:rPr>
              <w:t>4</w:t>
            </w:r>
          </w:p>
        </w:tc>
        <w:tc>
          <w:tcPr>
            <w:tcW w:type="dxa" w:w="3384"/>
            <w:vAlign w:val="center"/>
            <w:tcMar>
              <w:top w:w="80" w:type="dxa"/>
              <w:bottom w:w="80" w:type="dxa"/>
              <w:start w:w="120" w:type="dxa"/>
              <w:end w:w="120" w:type="dxa"/>
            </w:tcMar>
            <w:shd w:fill="F2F4F7"/>
          </w:tcPr>
          <w:p>
            <w:pPr>
              <w:spacing w:after="0"/>
            </w:pPr>
            <w:r/>
            <w:r>
              <w:rPr>
                <w:rFonts w:ascii="Calibri" w:hAnsi="Calibri"/>
                <w:b w:val="0"/>
                <w:i w:val="0"/>
                <w:color w:val="0B2545"/>
                <w:sz w:val="18"/>
              </w:rPr>
              <w:t>Deployment and tenant-provisioning guide</w:t>
            </w:r>
          </w:p>
        </w:tc>
        <w:tc>
          <w:tcPr>
            <w:tcW w:type="dxa" w:w="5040"/>
            <w:vAlign w:val="center"/>
            <w:tcMar>
              <w:top w:w="80" w:type="dxa"/>
              <w:bottom w:w="80" w:type="dxa"/>
              <w:start w:w="120" w:type="dxa"/>
              <w:end w:w="120" w:type="dxa"/>
            </w:tcMar>
            <w:shd w:fill="F2F4F7"/>
          </w:tcPr>
          <w:p>
            <w:pPr>
              <w:spacing w:after="0"/>
            </w:pPr>
            <w:r/>
            <w:r>
              <w:rPr>
                <w:rFonts w:ascii="Calibri" w:hAnsi="Calibri"/>
                <w:b w:val="0"/>
                <w:i w:val="0"/>
                <w:color w:val="0B2545"/>
                <w:sz w:val="18"/>
              </w:rPr>
              <w:t>Standardizes domains, Railway databases, secrets, migrations, and recovery</w:t>
            </w:r>
          </w:p>
        </w:tc>
      </w:tr>
      <w:tr>
        <w:tc>
          <w:tcPr>
            <w:tcW w:type="dxa" w:w="936"/>
            <w:vAlign w:val="center"/>
            <w:tcMar>
              <w:top w:w="80" w:type="dxa"/>
              <w:bottom w:w="80" w:type="dxa"/>
              <w:start w:w="120" w:type="dxa"/>
              <w:end w:w="120" w:type="dxa"/>
            </w:tcMar>
            <w:shd w:fill="FFFFFF"/>
          </w:tcPr>
          <w:p>
            <w:pPr>
              <w:spacing w:after="0"/>
            </w:pPr>
            <w:r/>
            <w:r>
              <w:rPr>
                <w:rFonts w:ascii="Calibri" w:hAnsi="Calibri"/>
                <w:b w:val="0"/>
                <w:i w:val="0"/>
                <w:color w:val="0B2545"/>
                <w:sz w:val="18"/>
              </w:rPr>
              <w:t>5</w:t>
            </w:r>
          </w:p>
        </w:tc>
        <w:tc>
          <w:tcPr>
            <w:tcW w:type="dxa" w:w="3384"/>
            <w:vAlign w:val="center"/>
            <w:tcMar>
              <w:top w:w="80" w:type="dxa"/>
              <w:bottom w:w="80" w:type="dxa"/>
              <w:start w:w="120" w:type="dxa"/>
              <w:end w:w="120" w:type="dxa"/>
            </w:tcMar>
            <w:shd w:fill="FFFFFF"/>
          </w:tcPr>
          <w:p>
            <w:pPr>
              <w:spacing w:after="0"/>
            </w:pPr>
            <w:r/>
            <w:r>
              <w:rPr>
                <w:rFonts w:ascii="Calibri" w:hAnsi="Calibri"/>
                <w:b w:val="0"/>
                <w:i w:val="0"/>
                <w:color w:val="0B2545"/>
                <w:sz w:val="18"/>
              </w:rPr>
              <w:t>Critical workflow test scenarios</w:t>
            </w:r>
          </w:p>
        </w:tc>
        <w:tc>
          <w:tcPr>
            <w:tcW w:type="dxa" w:w="5040"/>
            <w:vAlign w:val="center"/>
            <w:tcMar>
              <w:top w:w="80" w:type="dxa"/>
              <w:bottom w:w="80" w:type="dxa"/>
              <w:start w:w="120" w:type="dxa"/>
              <w:end w:w="120" w:type="dxa"/>
            </w:tcMar>
            <w:shd w:fill="FFFFFF"/>
          </w:tcPr>
          <w:p>
            <w:pPr>
              <w:spacing w:after="0"/>
            </w:pPr>
            <w:r/>
            <w:r>
              <w:rPr>
                <w:rFonts w:ascii="Calibri" w:hAnsi="Calibri"/>
                <w:b w:val="0"/>
                <w:i w:val="0"/>
                <w:color w:val="0B2545"/>
                <w:sz w:val="18"/>
              </w:rPr>
              <w:t>Turns business expectations into repeatable acceptance tests</w:t>
            </w:r>
          </w:p>
        </w:tc>
      </w:tr>
    </w:tbl>
    <w:p>
      <w:pPr>
        <w:pStyle w:val="Heading2"/>
      </w:pPr>
      <w:r>
        <w:t>Documentation maintenance rule</w:t>
      </w:r>
    </w:p>
    <w:p>
      <w:pPr>
        <w:pStyle w:val="ListBullet"/>
      </w:pPr>
      <w:r>
        <w:t>Update the relevant Markdown document in the same change that alters behavior.</w:t>
      </w:r>
    </w:p>
    <w:p>
      <w:pPr>
        <w:pStyle w:val="ListBullet"/>
      </w:pPr>
      <w:r>
        <w:t>Include a “reviewed on” date and identify the source files used.</w:t>
      </w:r>
    </w:p>
    <w:p>
      <w:pPr>
        <w:pStyle w:val="ListBullet"/>
      </w:pPr>
      <w:r>
        <w:t>Avoid copying detailed code into documents; describe stable concepts and link to implementation.</w:t>
      </w:r>
    </w:p>
    <w:p>
      <w:pPr>
        <w:pStyle w:val="ListBullet"/>
      </w:pPr>
      <w:r>
        <w:t>Periodically ask AI to compare documentation with code and list confirmed discrepancies without changing anything.</w:t>
      </w:r>
    </w:p>
    <w:p>
      <w:pPr>
        <w:pStyle w:val="Heading1"/>
      </w:pPr>
      <w:r>
        <w:t>7. A practical working cycle</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224"/>
            <w:vAlign w:val="center"/>
            <w:tcMar>
              <w:top w:w="80" w:type="dxa"/>
              <w:bottom w:w="80" w:type="dxa"/>
              <w:start w:w="120" w:type="dxa"/>
              <w:end w:w="120" w:type="dxa"/>
            </w:tcMar>
            <w:shd w:fill="2E74B5"/>
          </w:tcPr>
          <w:p>
            <w:pPr>
              <w:spacing w:after="0"/>
            </w:pPr>
            <w:r/>
            <w:r>
              <w:rPr>
                <w:rFonts w:ascii="Calibri" w:hAnsi="Calibri"/>
                <w:b/>
                <w:i w:val="0"/>
                <w:color w:val="FFFFFF"/>
                <w:sz w:val="18"/>
              </w:rPr>
              <w:t>Stage</w:t>
            </w:r>
          </w:p>
        </w:tc>
        <w:tc>
          <w:tcPr>
            <w:tcW w:type="dxa" w:w="3600"/>
            <w:vAlign w:val="center"/>
            <w:tcMar>
              <w:top w:w="80" w:type="dxa"/>
              <w:bottom w:w="80" w:type="dxa"/>
              <w:start w:w="120" w:type="dxa"/>
              <w:end w:w="120" w:type="dxa"/>
            </w:tcMar>
            <w:shd w:fill="2E74B5"/>
          </w:tcPr>
          <w:p>
            <w:pPr>
              <w:spacing w:after="0"/>
            </w:pPr>
            <w:r/>
            <w:r>
              <w:rPr>
                <w:rFonts w:ascii="Calibri" w:hAnsi="Calibri"/>
                <w:b/>
                <w:i w:val="0"/>
                <w:color w:val="FFFFFF"/>
                <w:sz w:val="18"/>
              </w:rPr>
              <w:t>Your responsibility</w:t>
            </w:r>
          </w:p>
        </w:tc>
        <w:tc>
          <w:tcPr>
            <w:tcW w:type="dxa" w:w="4536"/>
            <w:vAlign w:val="center"/>
            <w:tcMar>
              <w:top w:w="80" w:type="dxa"/>
              <w:bottom w:w="80" w:type="dxa"/>
              <w:start w:w="120" w:type="dxa"/>
              <w:end w:w="120" w:type="dxa"/>
            </w:tcMar>
            <w:shd w:fill="2E74B5"/>
          </w:tcPr>
          <w:p>
            <w:pPr>
              <w:spacing w:after="0"/>
            </w:pPr>
            <w:r/>
            <w:r>
              <w:rPr>
                <w:rFonts w:ascii="Calibri" w:hAnsi="Calibri"/>
                <w:b/>
                <w:i w:val="0"/>
                <w:color w:val="FFFFFF"/>
                <w:sz w:val="18"/>
              </w:rPr>
              <w:t>AI responsibility</w:t>
            </w:r>
          </w:p>
        </w:tc>
      </w:tr>
      <w:tr>
        <w:tc>
          <w:tcPr>
            <w:tcW w:type="dxa" w:w="1224"/>
            <w:vAlign w:val="center"/>
            <w:tcMar>
              <w:top w:w="80" w:type="dxa"/>
              <w:bottom w:w="80" w:type="dxa"/>
              <w:start w:w="120" w:type="dxa"/>
              <w:end w:w="120" w:type="dxa"/>
            </w:tcMar>
            <w:shd w:fill="FFFFFF"/>
          </w:tcPr>
          <w:p>
            <w:pPr>
              <w:spacing w:after="0"/>
            </w:pPr>
            <w:r/>
            <w:r>
              <w:rPr>
                <w:rFonts w:ascii="Calibri" w:hAnsi="Calibri"/>
                <w:b w:val="0"/>
                <w:i w:val="0"/>
                <w:color w:val="0B2545"/>
                <w:sz w:val="18"/>
              </w:rPr>
              <w:t>1. Frame</w:t>
            </w:r>
          </w:p>
        </w:tc>
        <w:tc>
          <w:tcPr>
            <w:tcW w:type="dxa" w:w="3600"/>
            <w:vAlign w:val="center"/>
            <w:tcMar>
              <w:top w:w="80" w:type="dxa"/>
              <w:bottom w:w="80" w:type="dxa"/>
              <w:start w:w="120" w:type="dxa"/>
              <w:end w:w="120" w:type="dxa"/>
            </w:tcMar>
            <w:shd w:fill="FFFFFF"/>
          </w:tcPr>
          <w:p>
            <w:pPr>
              <w:spacing w:after="0"/>
            </w:pPr>
            <w:r/>
            <w:r>
              <w:rPr>
                <w:rFonts w:ascii="Calibri" w:hAnsi="Calibri"/>
                <w:b w:val="0"/>
                <w:i w:val="0"/>
                <w:color w:val="0B2545"/>
                <w:sz w:val="18"/>
              </w:rPr>
              <w:t>State outcome, users, constraints, and business rules</w:t>
            </w:r>
          </w:p>
        </w:tc>
        <w:tc>
          <w:tcPr>
            <w:tcW w:type="dxa" w:w="4536"/>
            <w:vAlign w:val="center"/>
            <w:tcMar>
              <w:top w:w="80" w:type="dxa"/>
              <w:bottom w:w="80" w:type="dxa"/>
              <w:start w:w="120" w:type="dxa"/>
              <w:end w:w="120" w:type="dxa"/>
            </w:tcMar>
            <w:shd w:fill="FFFFFF"/>
          </w:tcPr>
          <w:p>
            <w:pPr>
              <w:spacing w:after="0"/>
            </w:pPr>
            <w:r/>
            <w:r>
              <w:rPr>
                <w:rFonts w:ascii="Calibri" w:hAnsi="Calibri"/>
                <w:b w:val="0"/>
                <w:i w:val="0"/>
                <w:color w:val="0B2545"/>
                <w:sz w:val="18"/>
              </w:rPr>
              <w:t>Restate scope and identify missing consequential information</w:t>
            </w:r>
          </w:p>
        </w:tc>
      </w:tr>
      <w:tr>
        <w:tc>
          <w:tcPr>
            <w:tcW w:type="dxa" w:w="1224"/>
            <w:vAlign w:val="center"/>
            <w:tcMar>
              <w:top w:w="80" w:type="dxa"/>
              <w:bottom w:w="80" w:type="dxa"/>
              <w:start w:w="120" w:type="dxa"/>
              <w:end w:w="120" w:type="dxa"/>
            </w:tcMar>
            <w:shd w:fill="F2F4F7"/>
          </w:tcPr>
          <w:p>
            <w:pPr>
              <w:spacing w:after="0"/>
            </w:pPr>
            <w:r/>
            <w:r>
              <w:rPr>
                <w:rFonts w:ascii="Calibri" w:hAnsi="Calibri"/>
                <w:b w:val="0"/>
                <w:i w:val="0"/>
                <w:color w:val="0B2545"/>
                <w:sz w:val="18"/>
              </w:rPr>
              <w:t>2. Inspect</w:t>
            </w:r>
          </w:p>
        </w:tc>
        <w:tc>
          <w:tcPr>
            <w:tcW w:type="dxa" w:w="3600"/>
            <w:vAlign w:val="center"/>
            <w:tcMar>
              <w:top w:w="80" w:type="dxa"/>
              <w:bottom w:w="80" w:type="dxa"/>
              <w:start w:w="120" w:type="dxa"/>
              <w:end w:w="120" w:type="dxa"/>
            </w:tcMar>
            <w:shd w:fill="F2F4F7"/>
          </w:tcPr>
          <w:p>
            <w:pPr>
              <w:spacing w:after="0"/>
            </w:pPr>
            <w:r/>
            <w:r>
              <w:rPr>
                <w:rFonts w:ascii="Calibri" w:hAnsi="Calibri"/>
                <w:b w:val="0"/>
                <w:i w:val="0"/>
                <w:color w:val="0B2545"/>
                <w:sz w:val="18"/>
              </w:rPr>
              <w:t>Provide repository and relevant operational context</w:t>
            </w:r>
          </w:p>
        </w:tc>
        <w:tc>
          <w:tcPr>
            <w:tcW w:type="dxa" w:w="4536"/>
            <w:vAlign w:val="center"/>
            <w:tcMar>
              <w:top w:w="80" w:type="dxa"/>
              <w:bottom w:w="80" w:type="dxa"/>
              <w:start w:w="120" w:type="dxa"/>
              <w:end w:w="120" w:type="dxa"/>
            </w:tcMar>
            <w:shd w:fill="F2F4F7"/>
          </w:tcPr>
          <w:p>
            <w:pPr>
              <w:spacing w:after="0"/>
            </w:pPr>
            <w:r/>
            <w:r>
              <w:rPr>
                <w:rFonts w:ascii="Calibri" w:hAnsi="Calibri"/>
                <w:b w:val="0"/>
                <w:i w:val="0"/>
                <w:color w:val="0B2545"/>
                <w:sz w:val="18"/>
              </w:rPr>
              <w:t>Read docs and code; trace actual behavior</w:t>
            </w:r>
          </w:p>
        </w:tc>
      </w:tr>
      <w:tr>
        <w:tc>
          <w:tcPr>
            <w:tcW w:type="dxa" w:w="1224"/>
            <w:vAlign w:val="center"/>
            <w:tcMar>
              <w:top w:w="80" w:type="dxa"/>
              <w:bottom w:w="80" w:type="dxa"/>
              <w:start w:w="120" w:type="dxa"/>
              <w:end w:w="120" w:type="dxa"/>
            </w:tcMar>
            <w:shd w:fill="FFFFFF"/>
          </w:tcPr>
          <w:p>
            <w:pPr>
              <w:spacing w:after="0"/>
            </w:pPr>
            <w:r/>
            <w:r>
              <w:rPr>
                <w:rFonts w:ascii="Calibri" w:hAnsi="Calibri"/>
                <w:b w:val="0"/>
                <w:i w:val="0"/>
                <w:color w:val="0B2545"/>
                <w:sz w:val="18"/>
              </w:rPr>
              <w:t>3. Decide</w:t>
            </w:r>
          </w:p>
        </w:tc>
        <w:tc>
          <w:tcPr>
            <w:tcW w:type="dxa" w:w="3600"/>
            <w:vAlign w:val="center"/>
            <w:tcMar>
              <w:top w:w="80" w:type="dxa"/>
              <w:bottom w:w="80" w:type="dxa"/>
              <w:start w:w="120" w:type="dxa"/>
              <w:end w:w="120" w:type="dxa"/>
            </w:tcMar>
            <w:shd w:fill="FFFFFF"/>
          </w:tcPr>
          <w:p>
            <w:pPr>
              <w:spacing w:after="0"/>
            </w:pPr>
            <w:r/>
            <w:r>
              <w:rPr>
                <w:rFonts w:ascii="Calibri" w:hAnsi="Calibri"/>
                <w:b w:val="0"/>
                <w:i w:val="0"/>
                <w:color w:val="0B2545"/>
                <w:sz w:val="18"/>
              </w:rPr>
              <w:t>Approve material product/schema choices</w:t>
            </w:r>
          </w:p>
        </w:tc>
        <w:tc>
          <w:tcPr>
            <w:tcW w:type="dxa" w:w="4536"/>
            <w:vAlign w:val="center"/>
            <w:tcMar>
              <w:top w:w="80" w:type="dxa"/>
              <w:bottom w:w="80" w:type="dxa"/>
              <w:start w:w="120" w:type="dxa"/>
              <w:end w:w="120" w:type="dxa"/>
            </w:tcMar>
            <w:shd w:fill="FFFFFF"/>
          </w:tcPr>
          <w:p>
            <w:pPr>
              <w:spacing w:after="0"/>
            </w:pPr>
            <w:r/>
            <w:r>
              <w:rPr>
                <w:rFonts w:ascii="Calibri" w:hAnsi="Calibri"/>
                <w:b w:val="0"/>
                <w:i w:val="0"/>
                <w:color w:val="0B2545"/>
                <w:sz w:val="18"/>
              </w:rPr>
              <w:t>Explain options, evidence, risks, and recommendation</w:t>
            </w:r>
          </w:p>
        </w:tc>
      </w:tr>
      <w:tr>
        <w:tc>
          <w:tcPr>
            <w:tcW w:type="dxa" w:w="1224"/>
            <w:vAlign w:val="center"/>
            <w:tcMar>
              <w:top w:w="80" w:type="dxa"/>
              <w:bottom w:w="80" w:type="dxa"/>
              <w:start w:w="120" w:type="dxa"/>
              <w:end w:w="120" w:type="dxa"/>
            </w:tcMar>
            <w:shd w:fill="F2F4F7"/>
          </w:tcPr>
          <w:p>
            <w:pPr>
              <w:spacing w:after="0"/>
            </w:pPr>
            <w:r/>
            <w:r>
              <w:rPr>
                <w:rFonts w:ascii="Calibri" w:hAnsi="Calibri"/>
                <w:b w:val="0"/>
                <w:i w:val="0"/>
                <w:color w:val="0B2545"/>
                <w:sz w:val="18"/>
              </w:rPr>
              <w:t>4. Implement</w:t>
            </w:r>
          </w:p>
        </w:tc>
        <w:tc>
          <w:tcPr>
            <w:tcW w:type="dxa" w:w="3600"/>
            <w:vAlign w:val="center"/>
            <w:tcMar>
              <w:top w:w="80" w:type="dxa"/>
              <w:bottom w:w="80" w:type="dxa"/>
              <w:start w:w="120" w:type="dxa"/>
              <w:end w:w="120" w:type="dxa"/>
            </w:tcMar>
            <w:shd w:fill="F2F4F7"/>
          </w:tcPr>
          <w:p>
            <w:pPr>
              <w:spacing w:after="0"/>
            </w:pPr>
            <w:r/>
            <w:r>
              <w:rPr>
                <w:rFonts w:ascii="Calibri" w:hAnsi="Calibri"/>
                <w:b w:val="0"/>
                <w:i w:val="0"/>
                <w:color w:val="0B2545"/>
                <w:sz w:val="18"/>
              </w:rPr>
              <w:t>Authorize the scoped change</w:t>
            </w:r>
          </w:p>
        </w:tc>
        <w:tc>
          <w:tcPr>
            <w:tcW w:type="dxa" w:w="4536"/>
            <w:vAlign w:val="center"/>
            <w:tcMar>
              <w:top w:w="80" w:type="dxa"/>
              <w:bottom w:w="80" w:type="dxa"/>
              <w:start w:w="120" w:type="dxa"/>
              <w:end w:w="120" w:type="dxa"/>
            </w:tcMar>
            <w:shd w:fill="F2F4F7"/>
          </w:tcPr>
          <w:p>
            <w:pPr>
              <w:spacing w:after="0"/>
            </w:pPr>
            <w:r/>
            <w:r>
              <w:rPr>
                <w:rFonts w:ascii="Calibri" w:hAnsi="Calibri"/>
                <w:b w:val="0"/>
                <w:i w:val="0"/>
                <w:color w:val="0B2545"/>
                <w:sz w:val="18"/>
              </w:rPr>
              <w:t>Preserve unrelated work and make the smallest coherent change</w:t>
            </w:r>
          </w:p>
        </w:tc>
      </w:tr>
      <w:tr>
        <w:tc>
          <w:tcPr>
            <w:tcW w:type="dxa" w:w="1224"/>
            <w:vAlign w:val="center"/>
            <w:tcMar>
              <w:top w:w="80" w:type="dxa"/>
              <w:bottom w:w="80" w:type="dxa"/>
              <w:start w:w="120" w:type="dxa"/>
              <w:end w:w="120" w:type="dxa"/>
            </w:tcMar>
            <w:shd w:fill="FFFFFF"/>
          </w:tcPr>
          <w:p>
            <w:pPr>
              <w:spacing w:after="0"/>
            </w:pPr>
            <w:r/>
            <w:r>
              <w:rPr>
                <w:rFonts w:ascii="Calibri" w:hAnsi="Calibri"/>
                <w:b w:val="0"/>
                <w:i w:val="0"/>
                <w:color w:val="0B2545"/>
                <w:sz w:val="18"/>
              </w:rPr>
              <w:t>5. Verify</w:t>
            </w:r>
          </w:p>
        </w:tc>
        <w:tc>
          <w:tcPr>
            <w:tcW w:type="dxa" w:w="3600"/>
            <w:vAlign w:val="center"/>
            <w:tcMar>
              <w:top w:w="80" w:type="dxa"/>
              <w:bottom w:w="80" w:type="dxa"/>
              <w:start w:w="120" w:type="dxa"/>
              <w:end w:w="120" w:type="dxa"/>
            </w:tcMar>
            <w:shd w:fill="FFFFFF"/>
          </w:tcPr>
          <w:p>
            <w:pPr>
              <w:spacing w:after="0"/>
            </w:pPr>
            <w:r/>
            <w:r>
              <w:rPr>
                <w:rFonts w:ascii="Calibri" w:hAnsi="Calibri"/>
                <w:b w:val="0"/>
                <w:i w:val="0"/>
                <w:color w:val="0B2545"/>
                <w:sz w:val="18"/>
              </w:rPr>
              <w:t>Review user-visible behavior and business correctness</w:t>
            </w:r>
          </w:p>
        </w:tc>
        <w:tc>
          <w:tcPr>
            <w:tcW w:type="dxa" w:w="4536"/>
            <w:vAlign w:val="center"/>
            <w:tcMar>
              <w:top w:w="80" w:type="dxa"/>
              <w:bottom w:w="80" w:type="dxa"/>
              <w:start w:w="120" w:type="dxa"/>
              <w:end w:w="120" w:type="dxa"/>
            </w:tcMar>
            <w:shd w:fill="FFFFFF"/>
          </w:tcPr>
          <w:p>
            <w:pPr>
              <w:spacing w:after="0"/>
            </w:pPr>
            <w:r/>
            <w:r>
              <w:rPr>
                <w:rFonts w:ascii="Calibri" w:hAnsi="Calibri"/>
                <w:b w:val="0"/>
                <w:i w:val="0"/>
                <w:color w:val="0B2545"/>
                <w:sz w:val="18"/>
              </w:rPr>
              <w:t>Run tests/builds and report evidence and limitations</w:t>
            </w:r>
          </w:p>
        </w:tc>
      </w:tr>
      <w:tr>
        <w:tc>
          <w:tcPr>
            <w:tcW w:type="dxa" w:w="1224"/>
            <w:vAlign w:val="center"/>
            <w:tcMar>
              <w:top w:w="80" w:type="dxa"/>
              <w:bottom w:w="80" w:type="dxa"/>
              <w:start w:w="120" w:type="dxa"/>
              <w:end w:w="120" w:type="dxa"/>
            </w:tcMar>
            <w:shd w:fill="F2F4F7"/>
          </w:tcPr>
          <w:p>
            <w:pPr>
              <w:spacing w:after="0"/>
            </w:pPr>
            <w:r/>
            <w:r>
              <w:rPr>
                <w:rFonts w:ascii="Calibri" w:hAnsi="Calibri"/>
                <w:b w:val="0"/>
                <w:i w:val="0"/>
                <w:color w:val="0B2545"/>
                <w:sz w:val="18"/>
              </w:rPr>
              <w:t>6. Document</w:t>
            </w:r>
          </w:p>
        </w:tc>
        <w:tc>
          <w:tcPr>
            <w:tcW w:type="dxa" w:w="3600"/>
            <w:vAlign w:val="center"/>
            <w:tcMar>
              <w:top w:w="80" w:type="dxa"/>
              <w:bottom w:w="80" w:type="dxa"/>
              <w:start w:w="120" w:type="dxa"/>
              <w:end w:w="120" w:type="dxa"/>
            </w:tcMar>
            <w:shd w:fill="F2F4F7"/>
          </w:tcPr>
          <w:p>
            <w:pPr>
              <w:spacing w:after="0"/>
            </w:pPr>
            <w:r/>
            <w:r>
              <w:rPr>
                <w:rFonts w:ascii="Calibri" w:hAnsi="Calibri"/>
                <w:b w:val="0"/>
                <w:i w:val="0"/>
                <w:color w:val="0B2545"/>
                <w:sz w:val="18"/>
              </w:rPr>
              <w:t>Confirm the explanation matches your intent</w:t>
            </w:r>
          </w:p>
        </w:tc>
        <w:tc>
          <w:tcPr>
            <w:tcW w:type="dxa" w:w="4536"/>
            <w:vAlign w:val="center"/>
            <w:tcMar>
              <w:top w:w="80" w:type="dxa"/>
              <w:bottom w:w="80" w:type="dxa"/>
              <w:start w:w="120" w:type="dxa"/>
              <w:end w:w="120" w:type="dxa"/>
            </w:tcMar>
            <w:shd w:fill="F2F4F7"/>
          </w:tcPr>
          <w:p>
            <w:pPr>
              <w:spacing w:after="0"/>
            </w:pPr>
            <w:r/>
            <w:r>
              <w:rPr>
                <w:rFonts w:ascii="Calibri" w:hAnsi="Calibri"/>
                <w:b w:val="0"/>
                <w:i w:val="0"/>
                <w:color w:val="0B2545"/>
                <w:sz w:val="18"/>
              </w:rPr>
              <w:t>Update Markdown/Word guidance when behavior changes</w:t>
            </w:r>
          </w:p>
        </w:tc>
      </w:tr>
    </w:tbl>
    <w:p>
      <w:pPr>
        <w:pStyle w:val="Heading1"/>
      </w:pPr>
      <w:r>
        <w:t>8. Owner checklist before sending a task</w:t>
      </w:r>
    </w:p>
    <w:p>
      <w:pPr>
        <w:pStyle w:val="ListBullet"/>
      </w:pPr>
      <w:r>
        <w:t>Have I explained the user problem and expected outcome?</w:t>
      </w:r>
    </w:p>
    <w:p>
      <w:pPr>
        <w:pStyle w:val="ListBullet"/>
      </w:pPr>
      <w:r>
        <w:t>Did I identify the affected role, page, workflow, or tenant behavior?</w:t>
      </w:r>
    </w:p>
    <w:p>
      <w:pPr>
        <w:pStyle w:val="ListBullet"/>
      </w:pPr>
      <w:r>
        <w:t>Did I point AI to the relevant ClassLift documentation?</w:t>
      </w:r>
    </w:p>
    <w:p>
      <w:pPr>
        <w:pStyle w:val="ListBullet"/>
      </w:pPr>
      <w:r>
        <w:t>Did I state important exclusions and business rules?</w:t>
      </w:r>
    </w:p>
    <w:p>
      <w:pPr>
        <w:pStyle w:val="ListBullet"/>
      </w:pPr>
      <w:r>
        <w:t>Did I ask AI to inspect current code before changing it?</w:t>
      </w:r>
    </w:p>
    <w:p>
      <w:pPr>
        <w:pStyle w:val="ListBullet"/>
      </w:pPr>
      <w:r>
        <w:t>Did I define acceptance criteria that I can personally verify?</w:t>
      </w:r>
    </w:p>
    <w:p>
      <w:pPr>
        <w:pStyle w:val="ListBullet"/>
      </w:pPr>
      <w:r>
        <w:t>For financial/database work, did I request transaction, authorization, and rollback analysis?</w:t>
      </w:r>
    </w:p>
    <w:p>
      <w:pPr>
        <w:pStyle w:val="ListBullet"/>
      </w:pPr>
      <w:r>
        <w:t>Did I ask for tests and a concise summary of assumptions?</w:t>
      </w:r>
    </w:p>
    <w:tbl>
      <w:tblPr>
        <w:tblW w:type="auto" w:w="0"/>
        <w:jc w:val="center"/>
        <w:tblLayout w:type="fixed"/>
        <w:tblLook w:firstColumn="1" w:firstRow="1" w:lastColumn="0" w:lastRow="0" w:noHBand="0" w:noVBand="1" w:val="04A0"/>
      </w:tblPr>
      <w:tblGrid>
        <w:gridCol w:w="9360"/>
      </w:tblGrid>
      <w:tr>
        <w:tc>
          <w:tcPr>
            <w:tcW w:type="dxa" w:w="9360"/>
            <w:shd w:fill="E9F7EF"/>
            <w:tcMar>
              <w:top w:w="140" w:type="dxa"/>
              <w:bottom w:w="140" w:type="dxa"/>
              <w:start w:w="160" w:type="dxa"/>
              <w:end w:w="160" w:type="dxa"/>
            </w:tcMar>
          </w:tcPr>
          <w:p>
            <w:pPr>
              <w:spacing w:after="60"/>
            </w:pPr>
            <w:r>
              <w:rPr>
                <w:rFonts w:ascii="Calibri" w:hAnsi="Calibri"/>
                <w:b/>
                <w:i w:val="0"/>
                <w:color w:val="2E74B5"/>
                <w:sz w:val="22"/>
              </w:rPr>
              <w:t>Bottom line</w:t>
            </w:r>
          </w:p>
          <w:p>
            <w:pPr>
              <w:spacing w:after="0"/>
            </w:pPr>
            <w:r>
              <w:rPr>
                <w:rFonts w:ascii="Calibri" w:hAnsi="Calibri"/>
                <w:b w:val="0"/>
                <w:i w:val="0"/>
                <w:color w:val="0B2545"/>
                <w:sz w:val="21"/>
              </w:rPr>
              <w:t>Keep the Markdown database guide in the repository and reference it from AGENTS.md. Use Word for human distribution. Let documentation orient the AI, but require current code, migrations, tests, and observed behavior to support every consequential change.</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6"/>
      </w:rPr>
      <w:t xml:space="preserve">ClassLift • Working effectively with 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2E74B5"/>
        <w:sz w:val="16"/>
      </w:rPr>
      <w:t>CLASSLIFT  /  AI WORKING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864"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Effectively with AI on ClassLift</dc:title>
  <dc:subject>Owner guidance for reliable AI-assisted software work</dc:subject>
  <dc:creator>ClassLift</dc:creator>
  <cp:keywords/>
  <dc:description>generated by python-docx</dc:description>
  <cp:lastModifiedBy/>
  <cp:revision>1</cp:revision>
  <dcterms:created xsi:type="dcterms:W3CDTF">2013-12-23T23:15:00Z</dcterms:created>
  <dcterms:modified xsi:type="dcterms:W3CDTF">2013-12-23T23:15:00Z</dcterms:modified>
  <cp:category/>
</cp:coreProperties>
</file>