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A77FD4"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Pr="000C2471" w:rsidRDefault="000C2471" w:rsidP="000C2471">
      <w:pPr>
        <w:rPr>
          <w:rFonts w:hint="eastAsia"/>
        </w:rPr>
      </w:pPr>
      <w:r w:rsidRPr="000C2471">
        <w:t>(LOAD_BALANCE = yes)(FAILOVER = ON)(CONNECT_DATA =(SERVER = DEDICATED)(SERVICE_NAME = ctfcdb)(FAILOVER_MODE=(TYPE = SELECT)(METHOD = BASIC)(RETIRES = 20)(DELAY = 15))))</w:t>
      </w:r>
      <w:bookmarkStart w:id="0" w:name="_GoBack"/>
      <w:bookmarkEnd w:id="0"/>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lastRenderedPageBreak/>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lastRenderedPageBreak/>
        <w:t>}// end http</w:t>
      </w:r>
    </w:p>
    <w:p w14:paraId="5166F55E" w14:textId="21901CDE" w:rsidR="00B63390" w:rsidRDefault="00B63390" w:rsidP="008C7705">
      <w:pPr>
        <w:ind w:leftChars="200" w:left="3990" w:hangingChars="1700" w:hanging="3570"/>
      </w:pPr>
      <w:r w:rsidRPr="00B63390">
        <w:rPr>
          <w:highlight w:val="yellow"/>
        </w:rPr>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1" o:title=""/>
          </v:shape>
          <o:OLEObject Type="Embed" ProgID="Package" ShapeID="_x0000_i1025" DrawAspect="Content" ObjectID="_1602052194" r:id="rId12"/>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Pr="0044464C" w:rsidRDefault="00727EFD" w:rsidP="00727EFD">
      <w:r w:rsidRPr="00727EFD">
        <w:lastRenderedPageBreak/>
        <w:t>ntpdate -u 192.168.11.37</w:t>
      </w:r>
      <w:r>
        <w:t xml:space="preserve"> (IP</w:t>
      </w:r>
      <w:r>
        <w:t>就是刚才设置的时间服务器的地址</w:t>
      </w:r>
      <w:r>
        <w:t>)</w:t>
      </w:r>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78ADE" w14:textId="77777777" w:rsidR="00A77FD4" w:rsidRDefault="00A77FD4" w:rsidP="006A4FF7">
      <w:r>
        <w:separator/>
      </w:r>
    </w:p>
  </w:endnote>
  <w:endnote w:type="continuationSeparator" w:id="0">
    <w:p w14:paraId="28B08DDC" w14:textId="77777777" w:rsidR="00A77FD4" w:rsidRDefault="00A77FD4"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CAD31" w14:textId="77777777" w:rsidR="00A77FD4" w:rsidRDefault="00A77FD4" w:rsidP="006A4FF7">
      <w:r>
        <w:separator/>
      </w:r>
    </w:p>
  </w:footnote>
  <w:footnote w:type="continuationSeparator" w:id="0">
    <w:p w14:paraId="6A9D8ADE" w14:textId="77777777" w:rsidR="00A77FD4" w:rsidRDefault="00A77FD4"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8192E"/>
    <w:rsid w:val="000C2471"/>
    <w:rsid w:val="001322E9"/>
    <w:rsid w:val="0013590F"/>
    <w:rsid w:val="001422F3"/>
    <w:rsid w:val="00182F61"/>
    <w:rsid w:val="00190133"/>
    <w:rsid w:val="001E2630"/>
    <w:rsid w:val="001E7FCC"/>
    <w:rsid w:val="00222CAA"/>
    <w:rsid w:val="00230186"/>
    <w:rsid w:val="00230559"/>
    <w:rsid w:val="00236BA3"/>
    <w:rsid w:val="00250811"/>
    <w:rsid w:val="00255BBA"/>
    <w:rsid w:val="00257D2E"/>
    <w:rsid w:val="00341291"/>
    <w:rsid w:val="00346C4E"/>
    <w:rsid w:val="003C344A"/>
    <w:rsid w:val="003E13F6"/>
    <w:rsid w:val="003E5DCA"/>
    <w:rsid w:val="003F1617"/>
    <w:rsid w:val="003F7557"/>
    <w:rsid w:val="00401E06"/>
    <w:rsid w:val="00413AB3"/>
    <w:rsid w:val="00416434"/>
    <w:rsid w:val="00417721"/>
    <w:rsid w:val="004210C1"/>
    <w:rsid w:val="00421D07"/>
    <w:rsid w:val="00442A10"/>
    <w:rsid w:val="0044464C"/>
    <w:rsid w:val="00472ED4"/>
    <w:rsid w:val="004B2994"/>
    <w:rsid w:val="004B5AD5"/>
    <w:rsid w:val="004B7A3E"/>
    <w:rsid w:val="004D4FC0"/>
    <w:rsid w:val="004E3920"/>
    <w:rsid w:val="00501489"/>
    <w:rsid w:val="00507013"/>
    <w:rsid w:val="00541102"/>
    <w:rsid w:val="00595505"/>
    <w:rsid w:val="005D2A40"/>
    <w:rsid w:val="005D4D3A"/>
    <w:rsid w:val="006311B3"/>
    <w:rsid w:val="0065014F"/>
    <w:rsid w:val="0066787F"/>
    <w:rsid w:val="006840C4"/>
    <w:rsid w:val="006A4FF7"/>
    <w:rsid w:val="006D7085"/>
    <w:rsid w:val="00702418"/>
    <w:rsid w:val="00727EFD"/>
    <w:rsid w:val="0074017E"/>
    <w:rsid w:val="00754AFB"/>
    <w:rsid w:val="007669E4"/>
    <w:rsid w:val="007809C7"/>
    <w:rsid w:val="00783E5A"/>
    <w:rsid w:val="007953AD"/>
    <w:rsid w:val="007D42B3"/>
    <w:rsid w:val="0082196D"/>
    <w:rsid w:val="0082456E"/>
    <w:rsid w:val="008364C0"/>
    <w:rsid w:val="008427FD"/>
    <w:rsid w:val="00855304"/>
    <w:rsid w:val="008A7CFF"/>
    <w:rsid w:val="008C62FE"/>
    <w:rsid w:val="008C7705"/>
    <w:rsid w:val="008D5F6C"/>
    <w:rsid w:val="008E7FE8"/>
    <w:rsid w:val="00904E98"/>
    <w:rsid w:val="00921297"/>
    <w:rsid w:val="00975354"/>
    <w:rsid w:val="00983008"/>
    <w:rsid w:val="00987DA5"/>
    <w:rsid w:val="009A03E7"/>
    <w:rsid w:val="009A7AC9"/>
    <w:rsid w:val="00A17A68"/>
    <w:rsid w:val="00A53F64"/>
    <w:rsid w:val="00A77FD4"/>
    <w:rsid w:val="00AA31FA"/>
    <w:rsid w:val="00AA6683"/>
    <w:rsid w:val="00AC1F8D"/>
    <w:rsid w:val="00B263C4"/>
    <w:rsid w:val="00B61641"/>
    <w:rsid w:val="00B63390"/>
    <w:rsid w:val="00B7587F"/>
    <w:rsid w:val="00BA1F29"/>
    <w:rsid w:val="00BB7CEC"/>
    <w:rsid w:val="00BF5DE1"/>
    <w:rsid w:val="00C70807"/>
    <w:rsid w:val="00C72B94"/>
    <w:rsid w:val="00D128FE"/>
    <w:rsid w:val="00D467DF"/>
    <w:rsid w:val="00D66FA1"/>
    <w:rsid w:val="00D676E6"/>
    <w:rsid w:val="00D8110E"/>
    <w:rsid w:val="00D84CA6"/>
    <w:rsid w:val="00E5785E"/>
    <w:rsid w:val="00E666BC"/>
    <w:rsid w:val="00E74E5C"/>
    <w:rsid w:val="00EA25BA"/>
    <w:rsid w:val="00EB17B3"/>
    <w:rsid w:val="00EF4F02"/>
    <w:rsid w:val="00F1489F"/>
    <w:rsid w:val="00F277B5"/>
    <w:rsid w:val="00F3358E"/>
    <w:rsid w:val="00F54509"/>
    <w:rsid w:val="00F56C30"/>
    <w:rsid w:val="00FA3C94"/>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12</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389</cp:revision>
  <dcterms:created xsi:type="dcterms:W3CDTF">2018-09-12T06:21:00Z</dcterms:created>
  <dcterms:modified xsi:type="dcterms:W3CDTF">2018-10-26T01:43:00Z</dcterms:modified>
</cp:coreProperties>
</file>