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短线交易实战策略手册-CSDN博客</w:t>
      </w:r>
    </w:p>
    <w:p>
      <w:r>
        <w:rPr>
          <w:color w:val="808080"/>
          <w:sz w:val="18"/>
        </w:rPr>
        <w:t>Source: https://blog.csdn.net/qq_34823185/article/details/160644800?spm=1011.2124.3001.6209</w:t>
      </w:r>
    </w:p>
    <w:p/>
    <w:p>
      <w:pPr>
        <w:pStyle w:val="Heading1"/>
      </w:pPr>
      <w:r>
        <w:t>短线交易实战策略手册</w:t>
      </w:r>
    </w:p>
    <w:p>
      <w:pPr>
        <w:spacing w:after="120"/>
      </w:pPr>
      <w:r>
        <w:t>#人工智能#学习</w:t>
      </w:r>
    </w:p>
    <w:p>
      <w:pPr>
        <w:pStyle w:val="Heading2"/>
      </w:pPr>
      <w:r>
        <w:t>一、树立正确的短线操盘理念</w:t>
      </w:r>
    </w:p>
    <w:p>
      <w:pPr>
        <w:spacing w:after="120"/>
      </w:pPr>
      <w:r>
        <w:t>短线交易核心是捕捉短期资金博弈差价，非长期价值投资，核心坚守4大原则，摒弃误区：</w:t>
      </w:r>
    </w:p>
    <w:p>
      <w:pPr>
        <w:spacing w:after="120"/>
      </w:pPr>
      <w:r>
        <w:t>敬畏市场：接受亏损可能，不扛单、不补仓，牢记“错了就止损”，杜绝侥幸。</w:t>
      </w:r>
    </w:p>
    <w:p>
      <w:pPr>
        <w:spacing w:after="120"/>
      </w:pPr>
      <w:r>
        <w:t>聚焦核心：专注主线龙头与强势标的，放弃冷门、弱势股，避免精力分散。</w:t>
      </w:r>
    </w:p>
    <w:p>
      <w:pPr>
        <w:spacing w:after="120"/>
      </w:pPr>
      <w:r>
        <w:t>纪律至上：制定明确交易规则并严格执行，克服贪婪与恐惧，杜绝情绪化操作。</w:t>
      </w:r>
    </w:p>
    <w:p>
      <w:pPr>
        <w:spacing w:after="120"/>
      </w:pPr>
      <w:r>
        <w:t>积小胜为大胜：追求高频小额稳定盈利，控制单次亏损，拒绝赌徒式交易。核心误区：摒弃靠运气、无底线追涨杀跌、频繁交易、重仓博弈，短线是理性博弈而非赌大小。</w:t>
      </w:r>
    </w:p>
    <w:p>
      <w:pPr>
        <w:pStyle w:val="Heading2"/>
      </w:pPr>
      <w:r>
        <w:t>二、行情研判</w:t>
      </w:r>
    </w:p>
    <w:p>
      <w:pPr>
        <w:spacing w:after="120"/>
      </w:pPr>
      <w:r>
        <w:t>行情研判核心是判断可操作空间、找入场时机、避风险，需多维度共振，8个核心维度如下：（一）走势跟踪核心是跟随趋势，不逆市：短线只做上升（低点、高点抬高）和震荡趋势（区间反复），规避下跌趋势；关注支撑位、压力位，跟踪走势连贯性，通过仰角判断强度（45度最优）。（二）动能研究核心通过量能和指标判断资金活跃度：量能遵循“量价匹配”，上涨放量、回调缩量为健康；结合KDJ（J值20以下金叉、80以上死叉）、MACD（零轴上下金叉区分强弱）判断动能拐点。（三）大盘分析先看大盘环境再操作：通过指数走势定强弱（站上5日线强势、跌破弱势）；观察涨停/跌停家数、赚钱效应判断情绪；关注主线板块联动性与权重股走势，规避弱势环境操作。（四）缺口策略遵循“缺口必补”规律，区分4类缺口：突破性缺口（放量不回补，可低吸/追涨）、持续性缺口（温和放量，可持有）、衰竭性缺口（放量回补，立即止盈）、下跌缺口（放量不回补，坚决</w:t>
      </w:r>
    </w:p>
    <w:p>
      <w:pPr>
        <w:spacing w:after="120"/>
      </w:pPr>
      <w:r>
        <w:t>立减 ¥</w:t>
      </w:r>
    </w:p>
    <w:p>
      <w:pPr>
        <w:spacing w:after="120"/>
      </w:pPr>
      <w:r>
        <w:t>0点赞</w:t>
      </w:r>
    </w:p>
    <w:p>
      <w:pPr>
        <w:spacing w:after="120"/>
      </w:pPr>
      <w:r>
        <w:t>踩</w:t>
      </w:r>
    </w:p>
    <w:p>
      <w:pPr>
        <w:spacing w:after="120"/>
      </w:pPr>
      <w:r>
        <w:t>0收藏觉得还不错?一键收藏</w:t>
      </w:r>
    </w:p>
    <w:p>
      <w:pPr>
        <w:spacing w:after="120"/>
      </w:pPr>
      <w:r>
        <w:t>知道了0评论</w:t>
      </w:r>
    </w:p>
    <w:p>
      <w:pPr>
        <w:spacing w:after="120"/>
      </w:pPr>
      <w:r>
        <w:t>分享复制链接分享到 QQ分享到新浪微博扫一扫</w:t>
      </w:r>
    </w:p>
    <w:p>
      <w:pPr>
        <w:spacing w:after="120"/>
      </w:pPr>
      <w:r>
        <w:t>打赏打赏</w:t>
      </w:r>
    </w:p>
    <w:p>
      <w:pPr>
        <w:spacing w:after="120"/>
      </w:pPr>
      <w:r>
        <w:t>打赏举报举报</w:t>
      </w:r>
    </w:p>
    <w:p>
      <w:pPr>
        <w:spacing w:after="120"/>
      </w:pPr>
      <w:r>
        <w:t>请填写红包祝福语或标题</w:t>
      </w:r>
    </w:p>
    <w:p>
      <w:pPr>
        <w:spacing w:after="120"/>
      </w:pPr>
      <w:r>
        <w:t>红包个数最小为10个</w:t>
      </w:r>
    </w:p>
    <w:p>
      <w:pPr>
        <w:spacing w:after="120"/>
      </w:pPr>
      <w:r>
        <w:t>红包金额最低5元</w:t>
      </w:r>
    </w:p>
    <w:p>
      <w:pPr>
        <w:spacing w:after="120"/>
      </w:pPr>
      <w:r>
        <w:t>打赏作者</w:t>
      </w:r>
    </w:p>
    <w:p>
      <w:pPr>
        <w:spacing w:after="120"/>
      </w:pPr>
      <w:r>
        <w:t>沃心</w:t>
      </w:r>
    </w:p>
    <w:p>
      <w:pPr>
        <w:spacing w:after="120"/>
      </w:pPr>
      <w:r>
        <w:t>你的鼓励将是我创作的最大动力</w:t>
      </w:r>
    </w:p>
    <w:p>
      <w:pPr>
        <w:spacing w:after="120"/>
      </w:pPr>
      <w:r>
        <w:t>您的余额不足，请更换扫码支付或充值</w:t>
      </w:r>
    </w:p>
    <w:p>
      <w:pPr>
        <w:spacing w:after="120"/>
      </w:pPr>
      <w:r>
        <w:t>打赏作者</w:t>
      </w:r>
    </w:p>
    <w:p>
      <w:pPr>
        <w:spacing w:after="120"/>
      </w:pPr>
      <w:r>
        <w:t>抵扣说明：</w:t>
      </w:r>
    </w:p>
    <w:p>
      <w:pPr>
        <w:spacing w:after="120"/>
      </w:pPr>
      <w:r>
        <w:t>1.余额是钱包充值的虚拟货币，按照1:1的比例进行支付金额的抵扣。2.余额无法直接购买下载，可以购买VIP、付费专栏及课程。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