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6"/>
        <w:gridCol w:w="4002"/>
        <w:gridCol w:w="2943"/>
      </w:tblGrid>
      <w:tr w14:paraId="0D0B1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04E93F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Style w:val="5"/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Principio SOLID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626692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Style w:val="5"/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Clase / Interfaz / Módulo Aplicado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31B94E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Style w:val="5"/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Justificación Técnica y Contexto en el Proyecto</w:t>
            </w:r>
          </w:p>
        </w:tc>
      </w:tr>
      <w:tr w14:paraId="5D676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BA658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 - Single Responsibility Principle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rial" w:hAnsi="Arial" w:eastAsia="sans-serif" w:cs="Arial"/>
                <w:i/>
                <w:i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(Principio de Responsabilidad Única)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B75A8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•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TicketDTO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 y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UsuarioDTO</w:t>
            </w:r>
          </w:p>
          <w:p w14:paraId="218719A0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</w:p>
          <w:p w14:paraId="3DD79B9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•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TicketMapper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 y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UsuarioMapper</w:t>
            </w:r>
          </w:p>
          <w:p w14:paraId="4A041D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  <w:p w14:paraId="3309155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•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Conexion</w:t>
            </w:r>
          </w:p>
          <w:p w14:paraId="10F3BC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  <w:p w14:paraId="3728BFE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•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TicketService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4538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• </w:t>
            </w:r>
            <w:r>
              <w:rPr>
                <w:rFonts w:hint="default" w:ascii="Arial" w:hAnsi="Arial" w:eastAsia="sans-serif" w:cs="Arial"/>
                <w:b/>
                <w:bCs/>
                <w:sz w:val="24"/>
                <w:szCs w:val="24"/>
                <w:bdr w:val="none" w:color="auto" w:sz="0" w:space="0"/>
              </w:rPr>
              <w:t>DTOs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: Tienen la única responsabilidad de transportar datos entre capas sin contener lógica de negocio ni persistencia.</w:t>
            </w:r>
          </w:p>
          <w:p w14:paraId="3FB5DAF6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</w:p>
          <w:p w14:paraId="58D3A29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• </w:t>
            </w:r>
            <w:r>
              <w:rPr>
                <w:rFonts w:hint="default" w:ascii="Arial" w:hAnsi="Arial" w:eastAsia="sans-serif" w:cs="Arial"/>
                <w:b/>
                <w:bCs/>
                <w:sz w:val="24"/>
                <w:szCs w:val="24"/>
                <w:bdr w:val="none" w:color="auto" w:sz="0" w:space="0"/>
              </w:rPr>
              <w:t>Mappers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: Se encargan exclusivamente de la conversión de objetos (Entidad $\leftrightarrow$DTO).</w:t>
            </w:r>
          </w:p>
          <w:p w14:paraId="054C32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  <w:p w14:paraId="689210A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• </w:t>
            </w:r>
            <w:r>
              <w:rPr>
                <w:rStyle w:val="4"/>
                <w:rFonts w:hint="default" w:ascii="Arial" w:hAnsi="Arial" w:eastAsia="sans-serif" w:cs="Arial"/>
                <w:b/>
                <w:bCs/>
                <w:sz w:val="24"/>
                <w:szCs w:val="24"/>
                <w:bdr w:val="none" w:color="auto" w:sz="0" w:space="0"/>
              </w:rPr>
              <w:t>Conexion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: Administra únicamente la obtención y cierre de conexiones a la base de datos JDBC.</w:t>
            </w:r>
          </w:p>
          <w:p w14:paraId="2B82FC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  <w:p w14:paraId="42A7ADF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• </w:t>
            </w:r>
            <w:r>
              <w:rPr>
                <w:rFonts w:hint="default" w:ascii="Arial" w:hAnsi="Arial" w:eastAsia="sans-serif" w:cs="Arial"/>
                <w:b/>
                <w:bCs/>
                <w:sz w:val="24"/>
                <w:szCs w:val="24"/>
                <w:bdr w:val="none" w:color="auto" w:sz="0" w:space="0"/>
              </w:rPr>
              <w:t>Servicios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: Separan las reglas de negocio de los servlets/controladores web (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.java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 en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co.edu.sena.mesaayuda.web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).</w:t>
            </w:r>
          </w:p>
        </w:tc>
      </w:tr>
      <w:tr w14:paraId="2DE02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6C42C0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 - Open/Closed Principle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rial" w:hAnsi="Arial" w:eastAsia="sans-serif" w:cs="Arial"/>
                <w:i/>
                <w:i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(Principio de Abierto/Cerrado)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FBDD4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•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EstrategiaAsignacion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(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AsignacionPorCarga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,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AsignacionPorCategoria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,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AsignacionPorDisponibilidad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)</w:t>
            </w:r>
          </w:p>
          <w:p w14:paraId="0945FC03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</w:p>
          <w:p w14:paraId="51DD5D4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•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EstrategiaSLA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(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SLAPrioridadAlta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,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SLAPrioridadMedia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, etc.)</w:t>
            </w:r>
          </w:p>
          <w:p w14:paraId="4A8DAC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  <w:p w14:paraId="2E1B4AA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•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EstrategiaNotificacion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94F12C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• Se utiliza el </w:t>
            </w: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Patrón Strategy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. Si se requiere agregar un nuevo criterio de asignación de tickets o una nueva regla de SLA, se crean clases que implementen sus respectivas interfaces </w:t>
            </w: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sin modificar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la lógica central de </w:t>
            </w:r>
            <w:r>
              <w:rPr>
                <w:rStyle w:val="4"/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TicketService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ni el código existente.</w:t>
            </w:r>
          </w:p>
        </w:tc>
      </w:tr>
      <w:tr w14:paraId="5A575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AD4C9A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 - Liskov Substitution Principle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rial" w:hAnsi="Arial" w:eastAsia="sans-serif" w:cs="Arial"/>
                <w:i/>
                <w:i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(Principio de Sustitución de Liskov)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BC3A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•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EstadoTicket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 y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EstadoTicketBase</w:t>
            </w:r>
          </w:p>
          <w:p w14:paraId="4BE6FC74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</w:p>
          <w:p w14:paraId="5867694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•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EstadoNuevo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,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EstadoAsignado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,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EstadoEnProceso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,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EstadoResuelto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,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EstadoCerrado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,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EstadoCancelado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C08E2F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• Aplicación del </w:t>
            </w: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Patrón State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. Todas las clases concretas de estado derivan de </w:t>
            </w:r>
            <w:r>
              <w:rPr>
                <w:rStyle w:val="4"/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EstadoTicketBase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e implementan la interfaz </w:t>
            </w:r>
            <w:r>
              <w:rPr>
                <w:rStyle w:val="4"/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EstadoTicket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. La entidad </w:t>
            </w:r>
            <w:r>
              <w:rPr>
                <w:rStyle w:val="4"/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Ticket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puede interactuar con cualquiera de estas sub-clases indistintamente sin romper el comportamiento esperado del flujo de vida del ticket.</w:t>
            </w:r>
          </w:p>
        </w:tc>
      </w:tr>
      <w:tr w14:paraId="7B541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B536A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 - Interface Segregation Principle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rial" w:hAnsi="Arial" w:eastAsia="sans-serif" w:cs="Arial"/>
                <w:i/>
                <w:i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(Principio de Segregación de Interfaces)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5283C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•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EstrategiaAsignacion</w:t>
            </w:r>
          </w:p>
          <w:p w14:paraId="16BB8257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</w:p>
          <w:p w14:paraId="0AF0E8E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•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EstrategiaSLA</w:t>
            </w:r>
          </w:p>
          <w:p w14:paraId="74425B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  <w:p w14:paraId="29818FC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•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EstrategiaPrioridad</w:t>
            </w:r>
          </w:p>
          <w:p w14:paraId="2B64F2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  <w:p w14:paraId="561C757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•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EstrategiaNotificacion</w:t>
            </w:r>
          </w:p>
          <w:p w14:paraId="23EDCC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  <w:p w14:paraId="1718441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• Repositorios específicos (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TicketRepository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,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UsuarioRepository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, etc.)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083FAB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• En lugar de crear una interfaz gigante y monolítica de servicios o repositorios, cada interfaz define exclusivamente los métodos necesarios para su ámbito o responsabilidad puntual, evitando obligar a las clases a implementar métodos que no necesitan.</w:t>
            </w:r>
          </w:p>
        </w:tc>
      </w:tr>
      <w:tr w14:paraId="32990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E51F0C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 - Dependency Inversion Principle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rial" w:hAnsi="Arial" w:eastAsia="sans-serif" w:cs="Arial"/>
                <w:i/>
                <w:i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(Principio de Inversión de Dependencias)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F1CF5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•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TicketService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 $\rightarrow$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TicketRepository</w:t>
            </w:r>
          </w:p>
          <w:p w14:paraId="10D74A07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</w:p>
          <w:p w14:paraId="69D454A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•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UsuarioService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 $\rightarrow$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UsuarioRepository</w:t>
            </w:r>
          </w:p>
          <w:p w14:paraId="39F9B7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  <w:p w14:paraId="7D3316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• Implementaciones con JDBC (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TicketRepositoryJDBC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 xml:space="preserve">, </w:t>
            </w:r>
            <w:r>
              <w:rPr>
                <w:rStyle w:val="4"/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UsuarioRepositoryJDBC</w:t>
            </w:r>
            <w:r>
              <w:rPr>
                <w:rFonts w:hint="default" w:ascii="Arial" w:hAnsi="Arial" w:eastAsia="sans-serif" w:cs="Arial"/>
                <w:sz w:val="24"/>
                <w:szCs w:val="24"/>
                <w:bdr w:val="none" w:color="auto" w:sz="0" w:space="0"/>
              </w:rPr>
              <w:t>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CCB1C0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  <w:sz w:val="24"/>
                <w:szCs w:val="24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• La capa de servicio (alto nivel) depende de las </w:t>
            </w: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abstracciones / interfaces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de repositorio (</w:t>
            </w:r>
            <w:r>
              <w:rPr>
                <w:rStyle w:val="4"/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TicketRepository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 y no de las clases de implementación concreta de bajo nivel (</w:t>
            </w:r>
            <w:r>
              <w:rPr>
                <w:rStyle w:val="4"/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TicketRepositoryJDBC</w:t>
            </w: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). Esto facilita cambiar la tecnología de persistencia en el futuro sin afectar el servicio.</w:t>
            </w:r>
          </w:p>
        </w:tc>
      </w:tr>
    </w:tbl>
    <w:p w14:paraId="03A1410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C80EFA"/>
    <w:rsid w:val="4AC8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2026-08-19T06:05:00Z</dcterms:created>
  <dc:creator>Santi</dc:creator>
  <cp:lastModifiedBy>Nubia Torres</cp:lastModifiedBy>
  <dcterms:modified xsi:type="dcterms:W3CDTF">2026-08-19T06:06:22Z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3082-12.1.0.28032</vt:lpwstr>
  </property>
  <property fmtid="{D5CDD505-2E9C-101B-9397-08002B2CF9AE}" pid="3" name="ICV">
    <vt:lpwstr>FC748817FA7F4C2B882E01164A3E8013_11</vt:lpwstr>
  </property>
  <property fmtid="{D5CDD505-2E9C-101B-9397-08002B2CF9AE}" pid="4" name="KSOTemplateDocerSaveRecord">
    <vt:lpwstr>eyJoZGlkIjoiZWNjODhlM2M5YzQwNjMzZGRmNDAxYmUwZjQ3YTQzNDMiLCJ1c2VySWQiOiIyMjE2ODA0NjAyNTU0In0=</vt:lpwstr>
  </property>
</Properties>
</file>