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Clave de respuestas para el docente</w:t>
      </w:r>
    </w:p>
    <w:p>
      <w:pPr>
        <w:keepNext w:val="false"/>
        <w:spacing w:after="120" w:before="60"/>
      </w:pPr>
      <w:r>
        <w:t xml:space="preserve">Examen: Concurso de méritos y principios de la contratación estatal. Documento de uso exclusivo del docente; no lo entregue a los estudiantes. Las referencias al Decreto 1082 de 2015 deben confrontarse con la versión compilada vigente.</w:t>
      </w:r>
    </w:p>
    <w:p>
      <w:pPr>
        <w:pStyle w:val="Heading1"/>
      </w:pPr>
      <w:r>
        <w:t xml:space="preserve">Parte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51"/>
        <w:gridCol w:w="822"/>
        <w:gridCol w:w="822"/>
        <w:gridCol w:w="822"/>
        <w:gridCol w:w="822"/>
        <w:gridCol w:w="822"/>
        <w:gridCol w:w="822"/>
        <w:gridCol w:w="822"/>
        <w:gridCol w:w="822"/>
        <w:gridCol w:w="822"/>
        <w:gridCol w:w="831"/>
      </w:tblGrid>
      <w:tr>
        <w:trPr>
          <w:tblHeader/>
        </w:trPr>
        <w:tc>
          <w:tcPr>
            <w:tcW w:type="dxa" w:w="185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Pregunta</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1</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2</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3</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4</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5</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6</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7</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8</w:t>
            </w:r>
          </w:p>
        </w:tc>
        <w:tc>
          <w:tcPr>
            <w:tcW w:type="dxa" w:w="822"/>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9</w:t>
            </w:r>
          </w:p>
        </w:tc>
        <w:tc>
          <w:tcPr>
            <w:tcW w:type="dxa" w:w="83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7"/>
                <w:szCs w:val="17"/>
              </w:rPr>
              <w:t xml:space="preserve">10</w:t>
            </w:r>
          </w:p>
        </w:tc>
      </w:tr>
      <w:tr>
        <w:trPr>
          <w:cantSplit/>
        </w:trPr>
        <w:tc>
          <w:tcPr>
            <w:tcW w:type="dxa" w:w="185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Respuesta</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c</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c</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a</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22"/>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c>
          <w:tcPr>
            <w:tcW w:type="dxa" w:w="83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7"/>
                <w:szCs w:val="17"/>
              </w:rPr>
              <w:t xml:space="preserve">b</w:t>
            </w:r>
          </w:p>
        </w:tc>
      </w:tr>
    </w:tbl>
    <w:p>
      <w:pPr>
        <w:spacing w:after="120"/>
      </w:pPr>
    </w:p>
    <w:p>
      <w:pPr>
        <w:pStyle w:val="Heading1"/>
      </w:pPr>
      <w:r>
        <w:t xml:space="preserve">Parte B. Dónde debe encontrar el estudiante la evidencia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0"/>
        <w:gridCol w:w="6720"/>
      </w:tblGrid>
      <w:tr>
        <w:trPr>
          <w:tblHeader/>
        </w:trPr>
        <w:tc>
          <w:tcPr>
            <w:tcW w:type="dxa" w:w="336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Principio</w:t>
            </w:r>
          </w:p>
        </w:tc>
        <w:tc>
          <w:tcPr>
            <w:tcW w:type="dxa" w:w="672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Evidencia esperada en los TdR</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Transparencia</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Reglas claras y completas en el pliego; cronograma; respuestas motivadas a las observaciones; adendas publicadas; informe de evaluación con traslado</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Publicidad</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Publicación en SECOP del aviso, proyecto de pliego, pliego definitivo, adendas, evaluación y acto de adjudicación; convocatoria a veedurías ciudadanas</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Economía</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Etapas y plazos preclusivos; presupuesto oficial con análisis del sector y estimación de costos (factor multiplicador, dedicaciones del personal); reglas de subsanabilidad que evitan rechazos por formalismos</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Planeación</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Estudios previos con necesidad, alcance y productos del diseño; CDP; anexo técnico con normas aplicables (NSR-10, RAS, manuales del INVIAS, NTC 4595, según el tipo de obra); análisis del sector</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Responsabilidad</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Matriz de riesgos; garantías (cumplimiento, calidad del servicio, salarios y prestaciones); firmas de quienes elaboran y aprueban; obligaciones del consultor sobre la calidad y estabilidad de los diseños</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Selección objetiva</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Factores de calidad con puntaje y forma de medirlos; precio excluido como factor; reglas de desempate (Ley 2069 de 2020); habilitantes como cumple o no cumple</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Igualdad y libre concurrencia</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Requisitos habilitantes proporcionales al valor y la complejidad; posibilidad de consorcios y uniones temporales; limitación a Mipymes cuando procede; puntaje de apoyo a la industria nacional cuando aplique</w:t>
            </w:r>
          </w:p>
        </w:tc>
      </w:tr>
      <w:tr>
        <w:trPr>
          <w:cantSplit/>
        </w:trPr>
        <w:tc>
          <w:tcPr>
            <w:tcW w:type="dxa" w:w="336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Debido proceso y contradicción</w:t>
            </w:r>
          </w:p>
        </w:tc>
        <w:tc>
          <w:tcPr>
            <w:tcW w:type="dxa" w:w="672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Traslado del informe de evaluación para observaciones; respuestas motivadas; procedimiento de multas y sanciones con audiencia (Ley 1474 de 2011, art. 86)</w:t>
            </w:r>
          </w:p>
        </w:tc>
      </w:tr>
    </w:tbl>
    <w:p>
      <w:pPr>
        <w:spacing w:after="120"/>
      </w:pPr>
    </w:p>
    <w:p>
      <w:pPr>
        <w:pStyle w:val="Heading1"/>
      </w:pPr>
      <w:r>
        <w:t xml:space="preserve">Parte C1. Respuestas esperadas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21"/>
        <w:gridCol w:w="4229"/>
        <w:gridCol w:w="4230"/>
      </w:tblGrid>
      <w:tr>
        <w:trPr>
          <w:tblHeader/>
        </w:trPr>
        <w:tc>
          <w:tcPr>
            <w:tcW w:type="dxa" w:w="1621"/>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Criterio</w:t>
            </w:r>
          </w:p>
        </w:tc>
        <w:tc>
          <w:tcPr>
            <w:tcW w:type="dxa" w:w="4229"/>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Concurso de méritos</w:t>
            </w:r>
          </w:p>
        </w:tc>
        <w:tc>
          <w:tcPr>
            <w:tcW w:type="dxa" w:w="4230"/>
            <w:tcBorders>
              <w:top w:val="single" w:color="808080" w:sz="4"/>
              <w:left w:val="single" w:color="808080" w:sz="4"/>
              <w:bottom w:val="single" w:color="808080" w:sz="4"/>
              <w:right w:val="single" w:color="808080" w:sz="4"/>
            </w:tcBorders>
            <w:shd w:fill="D9E2F3" w:color="auto" w:val="clear"/>
            <w:tcMar>
              <w:top w:type="dxa" w:w="60"/>
              <w:left w:type="dxa" w:w="90"/>
              <w:bottom w:type="dxa" w:w="60"/>
              <w:right w:type="dxa" w:w="90"/>
            </w:tcMar>
          </w:tcPr>
          <w:p>
            <w:r>
              <w:rPr>
                <w:rFonts w:ascii="Arial" w:cs="Arial" w:eastAsia="Arial" w:hAnsi="Arial"/>
                <w:b/>
                <w:bCs/>
                <w:sz w:val="19"/>
                <w:szCs w:val="19"/>
              </w:rPr>
              <w:t xml:space="preserve">Licitación pública</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1. Objeto</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Consultoría: estudios, diseños, interventoría, asesoría, gerencia de proyectos (Ley 80 de 1993, art. 32, num. 2; Ley 1150 de 2007, art. 2, num. 3)</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Regla general: obra, bienes y servicios que no encajan en otra modalidad (Ley 1150 de 2007, art. 2, num. 1)</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2. Factores y precio</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Calidad: experiencia del proponente y del equipo, formación, publicaciones; el precio no es factor (Ley 1150 de 2007, art. 5, num. 4)</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Ponderación de calidad y precio, o relación costo-beneficio; el precio sí se evalúa (art. 5, num. 2)</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3. Oferta económica</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Se revisa la del primer lugar: debe estar dentro del presupuesto y ser coherente; si no, se pasa al segundo (Decreto 1082 de 2015, art. 2.2.1.2.1.3.2)</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Se evalúa la de todos los habilitados con la fórmula del pliego; en los documentos tipo, la fórmula se escoge al azar en la audiencia</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4. Precalificación</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Permitida: lista corta de interesados (Decreto 1082 de 2015, arts. 2.2.1.2.1.3.3 y ss.)</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No existe</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5. Proyecto de pliego</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Mínimo 5 días hábiles (Decreto 1082 de 2015, art. 2.2.1.1.2.1.4)</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Mínimo 10 días hábiles (misma norma)</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6. Audiencias</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No hay audiencia de adjudicación obligatoria; se adjudica por acto administrativo motivado</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Audiencia de riesgos y aclaración de pliegos, y audiencia pública de adjudicación (Ley 80 de 1993, art. 30; Ley 1150 de 2007, art. 9)</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7. Equipo y metodología</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Factor central de puntaje: perfiles, dedicaciones, formación y experiencia del personal clave</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El personal suele ser requisito mínimo o de ejecución, no factor principal de puntaje</w:t>
            </w:r>
          </w:p>
        </w:tc>
      </w:tr>
      <w:tr>
        <w:trPr>
          <w:cantSplit/>
        </w:trPr>
        <w:tc>
          <w:tcPr>
            <w:tcW w:type="dxa" w:w="1621"/>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8. Documentos tipo</w:t>
            </w:r>
          </w:p>
        </w:tc>
        <w:tc>
          <w:tcPr>
            <w:tcW w:type="dxa" w:w="4229"/>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Colombia Compra Eficiente adoptó documentos tipo de concurso de méritos para consultoría e interventoría en infraestructura de transporte; el estudiante verifica si aplican al sector del proceso</w:t>
            </w:r>
          </w:p>
        </w:tc>
        <w:tc>
          <w:tcPr>
            <w:tcW w:type="dxa" w:w="423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Arial" w:cs="Arial" w:eastAsia="Arial" w:hAnsi="Arial"/>
                <w:sz w:val="19"/>
                <w:szCs w:val="19"/>
              </w:rPr>
              <w:t xml:space="preserve">Hay documentos tipo para obra pública de infraestructura de transporte y otros sectores; son obligatorios (Ley 1882 de 2018 y Ley 2022 de 2020)</w:t>
            </w:r>
          </w:p>
        </w:tc>
      </w:tr>
    </w:tbl>
    <w:p>
      <w:pPr>
        <w:spacing w:after="120"/>
      </w:pPr>
    </w:p>
    <w:p>
      <w:pPr>
        <w:pStyle w:val="Heading1"/>
      </w:pPr>
      <w:r>
        <w:t xml:space="preserve">Parte C2. Idea central</w:t>
      </w:r>
    </w:p>
    <w:p>
      <w:pPr>
        <w:keepNext w:val="false"/>
        <w:spacing w:after="120" w:before="60"/>
      </w:pPr>
      <w:r>
        <w:t xml:space="preserve">Un diseño barato y deficiente encarece la obra con mayores cantidades, obras adicionales, sobrecostos y riesgos de estabilidad. La ley protege la calidad intelectual del consultor (selección objetiva y economía en sentido amplio). En la obra, con diseños y especificaciones definidos, el precio sí diferencia ofertas comparables.</w:t>
      </w:r>
    </w:p>
    <w:p>
      <w:pPr>
        <w:pStyle w:val="Heading1"/>
      </w:pPr>
      <w:r>
        <w:t xml:space="preserve">Parte D. Respuestas esperadas</w:t>
      </w:r>
    </w:p>
    <w:p>
      <w:pPr>
        <w:keepNext w:val="false"/>
        <w:spacing w:after="120" w:before="60"/>
      </w:pPr>
      <w:r>
        <w:rPr>
          <w:b/>
          <w:bCs/>
        </w:rPr>
        <w:t xml:space="preserve">Caso 1.</w:t>
      </w:r>
      <w:r>
        <w:t xml:space="preserve"> Vulnera la selección objetiva: el precio no puede ser factor en el concurso de méritos (Ley 1150 de 2007, art. 5, num. 4). Los 20 puntos deben pasar a factores de calidad, como el equipo de trabajo o la formación académica.</w:t>
      </w:r>
    </w:p>
    <w:p>
      <w:pPr>
        <w:keepNext w:val="false"/>
        <w:spacing w:after="120" w:before="60"/>
      </w:pPr>
      <w:r>
        <w:rPr>
          <w:b/>
          <w:bCs/>
        </w:rPr>
        <w:t xml:space="preserve">Caso 2.</w:t>
      </w:r>
      <w:r>
        <w:t xml:space="preserve"> Vulnera la igualdad, la libre concurrencia y la selección objetiva. El requisito es desproporcionado frente al valor y la complejidad del objeto, y la entidad debe sustentar los perfiles en el análisis del sector. Una mejora: pedir ingeniero civil o sanitario con posgrado y una experiencia específica razonable.</w:t>
      </w:r>
    </w:p>
    <w:p>
      <w:pPr>
        <w:keepNext w:val="false"/>
        <w:spacing w:after="120" w:before="60"/>
      </w:pPr>
      <w:r>
        <w:rPr>
          <w:b/>
          <w:bCs/>
        </w:rPr>
        <w:t xml:space="preserve">Caso 3.</w:t>
      </w:r>
      <w:r>
        <w:t xml:space="preserve"> Vulnera la publicidad, la transparencia y el debido proceso: las observaciones deben responderse de forma motivada y publicarse. Sobre la adenda: en el concurso, el Decreto 1082 de 2015 permite expedirla hasta el día hábil anterior al cierre, así que por fecha podría ser válida. En una licitación estaría prohibida (no se expiden adendas dentro de los 3 días hábiles anteriores al cierre, Ley 1882 de 2018). Al cambiar la experiencia exigida, la entidad debe ampliar el plazo de cierre para no afectar la igualdad de los interesados.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Clave docente · Uso exclusivo del docente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rFonts w:ascii="Arial" w:cs="Arial" w:eastAsia="Arial" w:hAnsi="Arial"/>
      <w:b/>
      <w:bCs/>
      <w:color w:val="1F4E79"/>
      <w:sz w:val="32"/>
      <w:szCs w:val="32"/>
    </w:rPr>
  </w:style>
  <w:style w:type="paragraph" w:styleId="Heading1">
    <w:name w:val="Heading 1"/>
    <w:basedOn w:val="Normal"/>
    <w:next w:val="Normal"/>
    <w:qFormat/>
    <w:pPr>
      <w:keepNext/>
      <w:pBdr>
        <w:bottom w:val="single" w:color="1F4E79" w:sz="6" w:space="2"/>
      </w:pBdr>
      <w:spacing w:after="120" w:before="320"/>
      <w:outlineLvl w:val="0"/>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Clave docente · Uso exclusivo del docente</dc:title>
  <dc:creator>Ingeniería Civil</dc:creator>
  <cp:lastModifiedBy>Un-named</cp:lastModifiedBy>
  <cp:revision>1</cp:revision>
  <dcterms:created xsi:type="dcterms:W3CDTF">2026-10-19T22:28:17.800Z</dcterms:created>
  <dcterms:modified xsi:type="dcterms:W3CDTF">2026-10-19T22:28:17.800Z</dcterms:modified>
</cp:coreProperties>
</file>

<file path=docProps/custom.xml><?xml version="1.0" encoding="utf-8"?>
<Properties xmlns="http://schemas.openxmlformats.org/officeDocument/2006/custom-properties" xmlns:vt="http://schemas.openxmlformats.org/officeDocument/2006/docPropsVTypes"/>
</file>