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Examen: Concurso de méritos y principios de la contratación estatal</w:t>
      </w:r>
    </w:p>
    <w:p>
      <w:pPr>
        <w:keepNext w:val="false"/>
        <w:spacing w:after="120" w:before="60"/>
      </w:pPr>
      <w:r>
        <w:t xml:space="preserve">Ingeniería Civil, último semestre. El estudiante analiza los términos de referencia (pliego de condiciones, estudios previos y anexo técnico) de un concurso de méritos real de SECOP I o SECOP II. Debe demostrar cómo el documento evidencia los principios de la contratación estatal y en qué se diferencia el proceso de una licitación pública.</w:t>
      </w:r>
    </w:p>
    <w:p>
      <w:pPr>
        <w:pBdr>
          <w:bottom w:val="single" w:color="A6A6A6" w:sz="4" w:space="1"/>
        </w:pBdr>
        <w:spacing w:after="0" w:before="120" w:line="360"/>
      </w:pPr>
      <w:r>
        <w:rPr>
          <w:rFonts w:ascii="Arial" w:cs="Arial" w:eastAsia="Arial" w:hAnsi="Arial"/>
          <w:b/>
          <w:bCs/>
          <w:sz w:val="21"/>
          <w:szCs w:val="21"/>
        </w:rPr>
        <w:t xml:space="preserve">Nombre: </w:t>
      </w:r>
    </w:p>
    <w:p>
      <w:pPr>
        <w:pBdr>
          <w:bottom w:val="single" w:color="A6A6A6" w:sz="4" w:space="1"/>
        </w:pBdr>
        <w:spacing w:after="0" w:before="120" w:line="360"/>
      </w:pPr>
      <w:r>
        <w:rPr>
          <w:rFonts w:ascii="Arial" w:cs="Arial" w:eastAsia="Arial" w:hAnsi="Arial"/>
          <w:b/>
          <w:bCs/>
          <w:sz w:val="21"/>
          <w:szCs w:val="21"/>
        </w:rPr>
        <w:t xml:space="preserve">Código: </w:t>
      </w:r>
    </w:p>
    <w:p>
      <w:pPr>
        <w:pBdr>
          <w:bottom w:val="single" w:color="A6A6A6" w:sz="4" w:space="1"/>
        </w:pBdr>
        <w:spacing w:after="0" w:before="120" w:line="360"/>
      </w:pPr>
      <w:r>
        <w:rPr>
          <w:rFonts w:ascii="Arial" w:cs="Arial" w:eastAsia="Arial" w:hAnsi="Arial"/>
          <w:b/>
          <w:bCs/>
          <w:sz w:val="21"/>
          <w:szCs w:val="21"/>
        </w:rPr>
        <w:t xml:space="preserve">Fecha: </w:t>
      </w:r>
    </w:p>
    <w:p>
      <w:pPr>
        <w:pBdr>
          <w:bottom w:val="single" w:color="A6A6A6" w:sz="4" w:space="1"/>
        </w:pBdr>
        <w:spacing w:after="0" w:before="120" w:line="360"/>
      </w:pPr>
      <w:r>
        <w:rPr>
          <w:rFonts w:ascii="Arial" w:cs="Arial" w:eastAsia="Arial" w:hAnsi="Arial"/>
          <w:b/>
          <w:bCs/>
          <w:sz w:val="21"/>
          <w:szCs w:val="21"/>
        </w:rPr>
        <w:t xml:space="preserve">Proceso analizado (constancia y entidad): </w:t>
      </w:r>
    </w:p>
    <w:p>
      <w:pPr>
        <w:pStyle w:val="Heading1"/>
      </w:pPr>
      <w:r>
        <w:t xml:space="preserve">Instrucciones</w:t>
      </w:r>
    </w:p>
    <w:p>
      <w:pPr>
        <w:keepNext w:val="false"/>
        <w:spacing w:after="120" w:before="60"/>
      </w:pPr>
      <w:r>
        <w:t xml:space="preserve">Duración: 3 horas. Puntaje total: 100 puntos. Trabajo individual, con consulta libre de normas.</w:t>
      </w:r>
    </w:p>
    <w:p>
      <w:pPr>
        <w:pStyle w:val="ListParagraph"/>
        <w:keepNext/>
        <w:numPr>
          <w:ilvl w:val="0"/>
          <w:numId w:val="2"/>
        </w:numPr>
        <w:spacing w:after="40" w:before="120"/>
      </w:pPr>
      <w:r>
        <w:t xml:space="preserve">Escoja un concurso de méritos para estudios y diseños de infraestructura pública publicado en SECOP I o SECOP II. También puede usar uno de los cinco procesos de referencia del curso (vía, puente, acueducto y alcantarillado, colegio u hospital).</w:t>
      </w:r>
    </w:p>
    <w:p>
      <w:pPr>
        <w:pStyle w:val="ListParagraph"/>
        <w:keepNext/>
        <w:numPr>
          <w:ilvl w:val="0"/>
          <w:numId w:val="2"/>
        </w:numPr>
        <w:spacing w:after="40" w:before="120"/>
      </w:pPr>
      <w:r>
        <w:t xml:space="preserve">Descargue el pliego de condiciones definitivo, los estudios previos, el anexo técnico y las adendas.</w:t>
      </w:r>
    </w:p>
    <w:p>
      <w:pPr>
        <w:pStyle w:val="ListParagraph"/>
        <w:keepNext/>
        <w:numPr>
          <w:ilvl w:val="0"/>
          <w:numId w:val="2"/>
        </w:numPr>
        <w:spacing w:after="40" w:before="120"/>
      </w:pPr>
      <w:r>
        <w:t xml:space="preserve">Identifique el proceso al inicio de su respuesta: número de constancia o de proceso, entidad, objeto, presupuesto oficial y fecha de publicación.</w:t>
      </w:r>
    </w:p>
    <w:p>
      <w:pPr>
        <w:pStyle w:val="ListParagraph"/>
        <w:keepNext/>
        <w:numPr>
          <w:ilvl w:val="0"/>
          <w:numId w:val="2"/>
        </w:numPr>
        <w:spacing w:after="40" w:before="120"/>
      </w:pPr>
      <w:r>
        <w:t xml:space="preserve">Cite cada evidencia con el documento y el numeral o la página, por ejemplo: “Pliego, num. 5.2.1, p. 34”. Una respuesta sin cita vale como máximo la mitad del puntaje.</w:t>
      </w:r>
    </w:p>
    <w:p>
      <w:pPr>
        <w:pStyle w:val="ListParagraph"/>
        <w:keepNext/>
        <w:numPr>
          <w:ilvl w:val="0"/>
          <w:numId w:val="2"/>
        </w:numPr>
        <w:spacing w:after="40" w:before="120"/>
      </w:pPr>
      <w:r>
        <w:t xml:space="preserve">Marco normativo mínimo: Constitución Política (art. 209), Ley 80 de 1993, Ley 1150 de 2007, Ley 1474 de 2011, Ley 1882 de 2018 y Decreto 1082 de 2015.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3"/>
        <w:gridCol w:w="7840"/>
        <w:gridCol w:w="1307"/>
      </w:tblGrid>
      <w:tr>
        <w:trPr>
          <w:tblHeader/>
        </w:trPr>
        <w:tc>
          <w:tcPr>
            <w:tcW w:type="dxa" w:w="9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Parte</w:t>
            </w:r>
          </w:p>
        </w:tc>
        <w:tc>
          <w:tcPr>
            <w:tcW w:type="dxa" w:w="78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Contenido</w:t>
            </w:r>
          </w:p>
        </w:tc>
        <w:tc>
          <w:tcPr>
            <w:tcW w:type="dxa" w:w="130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Puntos</w:t>
            </w:r>
          </w:p>
        </w:tc>
      </w:tr>
      <w:tr>
        <w:trPr>
          <w:cantSplit/>
        </w:trPr>
        <w:tc>
          <w:tcPr>
            <w:tcW w:type="dxa" w:w="933"/>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w:t>
            </w:r>
          </w:p>
        </w:tc>
        <w:tc>
          <w:tcPr>
            <w:tcW w:type="dxa" w:w="784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Selección múltiple</w:t>
            </w:r>
          </w:p>
        </w:tc>
        <w:tc>
          <w:tcPr>
            <w:tcW w:type="dxa" w:w="1307"/>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20</w:t>
            </w:r>
          </w:p>
        </w:tc>
      </w:tr>
      <w:tr>
        <w:trPr>
          <w:cantSplit/>
        </w:trPr>
        <w:tc>
          <w:tcPr>
            <w:tcW w:type="dxa" w:w="933"/>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w:t>
            </w:r>
          </w:p>
        </w:tc>
        <w:tc>
          <w:tcPr>
            <w:tcW w:type="dxa" w:w="784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Matriz de evidencia de principios</w:t>
            </w:r>
          </w:p>
        </w:tc>
        <w:tc>
          <w:tcPr>
            <w:tcW w:type="dxa" w:w="1307"/>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35</w:t>
            </w:r>
          </w:p>
        </w:tc>
      </w:tr>
      <w:tr>
        <w:trPr>
          <w:cantSplit/>
        </w:trPr>
        <w:tc>
          <w:tcPr>
            <w:tcW w:type="dxa" w:w="933"/>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w:t>
            </w:r>
          </w:p>
        </w:tc>
        <w:tc>
          <w:tcPr>
            <w:tcW w:type="dxa" w:w="784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Concurso de méritos vs. licitación pública</w:t>
            </w:r>
          </w:p>
        </w:tc>
        <w:tc>
          <w:tcPr>
            <w:tcW w:type="dxa" w:w="1307"/>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30</w:t>
            </w:r>
          </w:p>
        </w:tc>
      </w:tr>
      <w:tr>
        <w:trPr>
          <w:cantSplit/>
        </w:trPr>
        <w:tc>
          <w:tcPr>
            <w:tcW w:type="dxa" w:w="933"/>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D</w:t>
            </w:r>
          </w:p>
        </w:tc>
        <w:tc>
          <w:tcPr>
            <w:tcW w:type="dxa" w:w="784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Casos de análisis crítico</w:t>
            </w:r>
          </w:p>
        </w:tc>
        <w:tc>
          <w:tcPr>
            <w:tcW w:type="dxa" w:w="1307"/>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15</w:t>
            </w:r>
          </w:p>
        </w:tc>
      </w:tr>
      <w:tr>
        <w:trPr>
          <w:cantSplit/>
        </w:trPr>
        <w:tc>
          <w:tcPr>
            <w:tcW w:type="dxa" w:w="933"/>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784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b/>
                <w:bCs/>
                <w:sz w:val="19"/>
                <w:szCs w:val="19"/>
              </w:rPr>
              <w:t xml:space="preserve">Total</w:t>
            </w:r>
          </w:p>
        </w:tc>
        <w:tc>
          <w:tcPr>
            <w:tcW w:type="dxa" w:w="1307"/>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b/>
                <w:bCs/>
                <w:sz w:val="19"/>
                <w:szCs w:val="19"/>
              </w:rPr>
              <w:t xml:space="preserve">100</w:t>
            </w:r>
          </w:p>
        </w:tc>
      </w:tr>
    </w:tbl>
    <w:p>
      <w:pPr>
        <w:spacing w:after="120"/>
      </w:pPr>
    </w:p>
    <w:p>
      <w:pPr>
        <w:pStyle w:val="Heading1"/>
      </w:pPr>
      <w:r>
        <w:t xml:space="preserve">Parte A. Selección múltiple (20 puntos, 2 por pregunta)</w:t>
      </w:r>
    </w:p>
    <w:p>
      <w:pPr>
        <w:keepNext w:val="false"/>
        <w:spacing w:after="120" w:before="60"/>
      </w:pPr>
      <w:r>
        <w:t xml:space="preserve">Marque una sola respuesta.</w:t>
      </w:r>
    </w:p>
    <w:p>
      <w:pPr>
        <w:pStyle w:val="ListParagraph"/>
        <w:keepNext/>
        <w:numPr>
          <w:ilvl w:val="0"/>
          <w:numId w:val="3"/>
        </w:numPr>
        <w:spacing w:after="40" w:before="120"/>
      </w:pPr>
      <w:r>
        <w:t xml:space="preserve">La modalidad que la ley establece para seleccionar consultores, como los de estudios y diseños, es:</w:t>
      </w:r>
    </w:p>
    <w:p>
      <w:pPr>
        <w:keepNext/>
        <w:spacing w:after="20"/>
        <w:ind w:left="1080"/>
      </w:pPr>
      <w:r>
        <w:t xml:space="preserve">a) Licitación pública</w:t>
      </w:r>
    </w:p>
    <w:p>
      <w:pPr>
        <w:keepNext/>
        <w:spacing w:after="20"/>
        <w:ind w:left="1080"/>
      </w:pPr>
      <w:r>
        <w:t xml:space="preserve">b) Selección abreviada de menor cuantía</w:t>
      </w:r>
    </w:p>
    <w:p>
      <w:pPr>
        <w:keepNext/>
        <w:spacing w:after="20"/>
        <w:ind w:left="1080"/>
      </w:pPr>
      <w:r>
        <w:t xml:space="preserve">c) Concurso de méritos</w:t>
      </w:r>
    </w:p>
    <w:p>
      <w:pPr>
        <w:keepNext w:val="false"/>
        <w:spacing w:after="20"/>
        <w:ind w:left="1080"/>
      </w:pPr>
      <w:r>
        <w:t xml:space="preserve">d) Contratación directa</w:t>
      </w:r>
    </w:p>
    <w:p>
      <w:pPr>
        <w:pStyle w:val="ListParagraph"/>
        <w:keepNext/>
        <w:numPr>
          <w:ilvl w:val="0"/>
          <w:numId w:val="3"/>
        </w:numPr>
        <w:spacing w:after="40" w:before="120"/>
      </w:pPr>
      <w:r>
        <w:t xml:space="preserve">En un concurso de méritos, el precio de la oferta:</w:t>
      </w:r>
    </w:p>
    <w:p>
      <w:pPr>
        <w:keepNext/>
        <w:spacing w:after="20"/>
        <w:ind w:left="1080"/>
      </w:pPr>
      <w:r>
        <w:t xml:space="preserve">a) Pesa como mínimo el 50 % del puntaje</w:t>
      </w:r>
    </w:p>
    <w:p>
      <w:pPr>
        <w:keepNext/>
        <w:spacing w:after="20"/>
        <w:ind w:left="1080"/>
      </w:pPr>
      <w:r>
        <w:t xml:space="preserve">b) No puede ser factor de escogencia</w:t>
      </w:r>
    </w:p>
    <w:p>
      <w:pPr>
        <w:keepNext/>
        <w:spacing w:after="20"/>
        <w:ind w:left="1080"/>
      </w:pPr>
      <w:r>
        <w:t xml:space="preserve">c) Se usa solo para desempatar</w:t>
      </w:r>
    </w:p>
    <w:p>
      <w:pPr>
        <w:keepNext w:val="false"/>
        <w:spacing w:after="20"/>
        <w:ind w:left="1080"/>
      </w:pPr>
      <w:r>
        <w:t xml:space="preserve">d) Se evalúa con la media geométrica</w:t>
      </w:r>
    </w:p>
    <w:p>
      <w:pPr>
        <w:pStyle w:val="ListParagraph"/>
        <w:keepNext/>
        <w:numPr>
          <w:ilvl w:val="0"/>
          <w:numId w:val="3"/>
        </w:numPr>
        <w:spacing w:after="40" w:before="120"/>
      </w:pPr>
      <w:r>
        <w:t xml:space="preserve">Los factores que la entidad evalúa para ordenar las ofertas en un concurso de méritos son, principalmente:</w:t>
      </w:r>
    </w:p>
    <w:p>
      <w:pPr>
        <w:keepNext/>
        <w:spacing w:after="20"/>
        <w:ind w:left="1080"/>
      </w:pPr>
      <w:r>
        <w:t xml:space="preserve">a) Precio y plazo</w:t>
      </w:r>
    </w:p>
    <w:p>
      <w:pPr>
        <w:keepNext/>
        <w:spacing w:after="20"/>
        <w:ind w:left="1080"/>
      </w:pPr>
      <w:r>
        <w:t xml:space="preserve">b) Experiencia del proponente y del equipo de trabajo, formación académica y publicaciones técnicas</w:t>
      </w:r>
    </w:p>
    <w:p>
      <w:pPr>
        <w:keepNext/>
        <w:spacing w:after="20"/>
        <w:ind w:left="1080"/>
      </w:pPr>
      <w:r>
        <w:t xml:space="preserve">c) Capacidad financiera y organizacional</w:t>
      </w:r>
    </w:p>
    <w:p>
      <w:pPr>
        <w:keepNext w:val="false"/>
        <w:spacing w:after="20"/>
        <w:ind w:left="1080"/>
      </w:pPr>
      <w:r>
        <w:t xml:space="preserve">d) Menor valor y apoyo a la industria nacional, únicamente</w:t>
      </w:r>
    </w:p>
    <w:p>
      <w:pPr>
        <w:pStyle w:val="ListParagraph"/>
        <w:keepNext/>
        <w:numPr>
          <w:ilvl w:val="0"/>
          <w:numId w:val="3"/>
        </w:numPr>
        <w:spacing w:after="40" w:before="120"/>
      </w:pPr>
      <w:r>
        <w:t xml:space="preserve">Los requisitos habilitantes (capacidad jurídica, experiencia, capacidad financiera y organizacional):</w:t>
      </w:r>
    </w:p>
    <w:p>
      <w:pPr>
        <w:keepNext/>
        <w:spacing w:after="20"/>
        <w:ind w:left="1080"/>
      </w:pPr>
      <w:r>
        <w:t xml:space="preserve">a) Otorgan puntaje</w:t>
      </w:r>
    </w:p>
    <w:p>
      <w:pPr>
        <w:keepNext/>
        <w:spacing w:after="20"/>
        <w:ind w:left="1080"/>
      </w:pPr>
      <w:r>
        <w:t xml:space="preserve">b) Se verifican como cumple o no cumple</w:t>
      </w:r>
    </w:p>
    <w:p>
      <w:pPr>
        <w:keepNext/>
        <w:spacing w:after="20"/>
        <w:ind w:left="1080"/>
      </w:pPr>
      <w:r>
        <w:t xml:space="preserve">c) Solo aplican en licitación</w:t>
      </w:r>
    </w:p>
    <w:p>
      <w:pPr>
        <w:keepNext w:val="false"/>
        <w:spacing w:after="20"/>
        <w:ind w:left="1080"/>
      </w:pPr>
      <w:r>
        <w:t xml:space="preserve">d) Pueden subsanarse después de adjudicar</w:t>
      </w:r>
    </w:p>
    <w:p>
      <w:pPr>
        <w:pStyle w:val="ListParagraph"/>
        <w:keepNext/>
        <w:numPr>
          <w:ilvl w:val="0"/>
          <w:numId w:val="3"/>
        </w:numPr>
        <w:spacing w:after="40" w:before="120"/>
      </w:pPr>
      <w:r>
        <w:t xml:space="preserve">El principio que se evidencia al publicar el proyecto de pliego y responder las observaciones de los interesados es:</w:t>
      </w:r>
    </w:p>
    <w:p>
      <w:pPr>
        <w:keepNext/>
        <w:spacing w:after="20"/>
        <w:ind w:left="1080"/>
      </w:pPr>
      <w:r>
        <w:t xml:space="preserve">a) Economía</w:t>
      </w:r>
    </w:p>
    <w:p>
      <w:pPr>
        <w:keepNext/>
        <w:spacing w:after="20"/>
        <w:ind w:left="1080"/>
      </w:pPr>
      <w:r>
        <w:t xml:space="preserve">b) Responsabilidad</w:t>
      </w:r>
    </w:p>
    <w:p>
      <w:pPr>
        <w:keepNext/>
        <w:spacing w:after="20"/>
        <w:ind w:left="1080"/>
      </w:pPr>
      <w:r>
        <w:t xml:space="preserve">c) Transparencia y publicidad</w:t>
      </w:r>
    </w:p>
    <w:p>
      <w:pPr>
        <w:keepNext w:val="false"/>
        <w:spacing w:after="20"/>
        <w:ind w:left="1080"/>
      </w:pPr>
      <w:r>
        <w:t xml:space="preserve">d) Ecuación contractual</w:t>
      </w:r>
    </w:p>
    <w:p>
      <w:pPr>
        <w:pStyle w:val="ListParagraph"/>
        <w:keepNext/>
        <w:numPr>
          <w:ilvl w:val="0"/>
          <w:numId w:val="3"/>
        </w:numPr>
        <w:spacing w:after="40" w:before="120"/>
      </w:pPr>
      <w:r>
        <w:t xml:space="preserve">Que la entidad cuente con estudios previos, presupuesto oficial y disponibilidad presupuestal antes de abrir el proceso evidencia principalmente:</w:t>
      </w:r>
    </w:p>
    <w:p>
      <w:pPr>
        <w:keepNext/>
        <w:spacing w:after="20"/>
        <w:ind w:left="1080"/>
      </w:pPr>
      <w:r>
        <w:t xml:space="preserve">a) Planeación y economía</w:t>
      </w:r>
    </w:p>
    <w:p>
      <w:pPr>
        <w:keepNext/>
        <w:spacing w:after="20"/>
        <w:ind w:left="1080"/>
      </w:pPr>
      <w:r>
        <w:t xml:space="preserve">b) Igualdad</w:t>
      </w:r>
    </w:p>
    <w:p>
      <w:pPr>
        <w:keepNext/>
        <w:spacing w:after="20"/>
        <w:ind w:left="1080"/>
      </w:pPr>
      <w:r>
        <w:t xml:space="preserve">c) Buena fe</w:t>
      </w:r>
    </w:p>
    <w:p>
      <w:pPr>
        <w:keepNext w:val="false"/>
        <w:spacing w:after="20"/>
        <w:ind w:left="1080"/>
      </w:pPr>
      <w:r>
        <w:t xml:space="preserve">d) Libre concurrencia</w:t>
      </w:r>
    </w:p>
    <w:p>
      <w:pPr>
        <w:pStyle w:val="ListParagraph"/>
        <w:keepNext/>
        <w:numPr>
          <w:ilvl w:val="0"/>
          <w:numId w:val="3"/>
        </w:numPr>
        <w:spacing w:after="40" w:before="120"/>
      </w:pPr>
      <w:r>
        <w:t xml:space="preserve">En un concurso de méritos, la entidad revisa la oferta económica:</w:t>
      </w:r>
    </w:p>
    <w:p>
      <w:pPr>
        <w:keepNext/>
        <w:spacing w:after="20"/>
        <w:ind w:left="1080"/>
      </w:pPr>
      <w:r>
        <w:t xml:space="preserve">a) De todos los proponentes en audiencia pública, para asignar puntaje</w:t>
      </w:r>
    </w:p>
    <w:p>
      <w:pPr>
        <w:keepNext/>
        <w:spacing w:after="20"/>
        <w:ind w:left="1080"/>
      </w:pPr>
      <w:r>
        <w:t xml:space="preserve">b) Del proponente ubicado en primer lugar, para verificar que esté dentro del presupuesto y sea coherente con la consultoría</w:t>
      </w:r>
    </w:p>
    <w:p>
      <w:pPr>
        <w:keepNext/>
        <w:spacing w:after="20"/>
        <w:ind w:left="1080"/>
      </w:pPr>
      <w:r>
        <w:t xml:space="preserve">c) Nunca</w:t>
      </w:r>
    </w:p>
    <w:p>
      <w:pPr>
        <w:keepNext w:val="false"/>
        <w:spacing w:after="20"/>
        <w:ind w:left="1080"/>
      </w:pPr>
      <w:r>
        <w:t xml:space="preserve">d) Solo si hay empate</w:t>
      </w:r>
    </w:p>
    <w:p>
      <w:pPr>
        <w:pStyle w:val="ListParagraph"/>
        <w:keepNext/>
        <w:numPr>
          <w:ilvl w:val="0"/>
          <w:numId w:val="3"/>
        </w:numPr>
        <w:spacing w:after="40" w:before="120"/>
      </w:pPr>
      <w:r>
        <w:t xml:space="preserve">Según la Ley 1882 de 2018, la ausencia de requisitos o documentos que no otorgan puntaje:</w:t>
      </w:r>
    </w:p>
    <w:p>
      <w:pPr>
        <w:keepNext/>
        <w:spacing w:after="20"/>
        <w:ind w:left="1080"/>
      </w:pPr>
      <w:r>
        <w:t xml:space="preserve">a) Es causal de rechazo inmediato</w:t>
      </w:r>
    </w:p>
    <w:p>
      <w:pPr>
        <w:keepNext/>
        <w:spacing w:after="20"/>
        <w:ind w:left="1080"/>
      </w:pPr>
      <w:r>
        <w:t xml:space="preserve">b) Puede subsanarse hasta el término de traslado del informe de evaluación</w:t>
      </w:r>
    </w:p>
    <w:p>
      <w:pPr>
        <w:keepNext/>
        <w:spacing w:after="20"/>
        <w:ind w:left="1080"/>
      </w:pPr>
      <w:r>
        <w:t xml:space="preserve">c) Puede subsanarse en cualquier momento</w:t>
      </w:r>
    </w:p>
    <w:p>
      <w:pPr>
        <w:keepNext w:val="false"/>
        <w:spacing w:after="20"/>
        <w:ind w:left="1080"/>
      </w:pPr>
      <w:r>
        <w:t xml:space="preserve">d) Solo es subsanable en licitación</w:t>
      </w:r>
    </w:p>
    <w:p>
      <w:pPr>
        <w:pStyle w:val="ListParagraph"/>
        <w:keepNext/>
        <w:numPr>
          <w:ilvl w:val="0"/>
          <w:numId w:val="3"/>
        </w:numPr>
        <w:spacing w:after="40" w:before="120"/>
      </w:pPr>
      <w:r>
        <w:t xml:space="preserve">Un pliego que exige 25 contratos de experiencia específica para diseñar un puente peatonal de 30 m vulnera principalmente:</w:t>
      </w:r>
    </w:p>
    <w:p>
      <w:pPr>
        <w:keepNext/>
        <w:spacing w:after="20"/>
        <w:ind w:left="1080"/>
      </w:pPr>
      <w:r>
        <w:t xml:space="preserve">a) La ecuación contractual</w:t>
      </w:r>
    </w:p>
    <w:p>
      <w:pPr>
        <w:keepNext/>
        <w:spacing w:after="20"/>
        <w:ind w:left="1080"/>
      </w:pPr>
      <w:r>
        <w:t xml:space="preserve">b) La selección objetiva, la igualdad y la libre concurrencia (requisitos desproporcionados)</w:t>
      </w:r>
    </w:p>
    <w:p>
      <w:pPr>
        <w:keepNext/>
        <w:spacing w:after="20"/>
        <w:ind w:left="1080"/>
      </w:pPr>
      <w:r>
        <w:t xml:space="preserve">c) La responsabilidad</w:t>
      </w:r>
    </w:p>
    <w:p>
      <w:pPr>
        <w:keepNext w:val="false"/>
        <w:spacing w:after="20"/>
        <w:ind w:left="1080"/>
      </w:pPr>
      <w:r>
        <w:t xml:space="preserve">d) Ninguno, porque la entidad es autónoma</w:t>
      </w:r>
    </w:p>
    <w:p>
      <w:pPr>
        <w:pStyle w:val="ListParagraph"/>
        <w:keepNext/>
        <w:numPr>
          <w:ilvl w:val="0"/>
          <w:numId w:val="3"/>
        </w:numPr>
        <w:spacing w:after="40" w:before="120"/>
      </w:pPr>
      <w:r>
        <w:t xml:space="preserve">Un mecanismo que existe en el concurso de méritos y no en la licitación pública es:</w:t>
      </w:r>
    </w:p>
    <w:p>
      <w:pPr>
        <w:keepNext/>
        <w:spacing w:after="20"/>
        <w:ind w:left="1080"/>
      </w:pPr>
      <w:r>
        <w:t xml:space="preserve">a) La audiencia de adjudicación</w:t>
      </w:r>
    </w:p>
    <w:p>
      <w:pPr>
        <w:keepNext/>
        <w:spacing w:after="20"/>
        <w:ind w:left="1080"/>
      </w:pPr>
      <w:r>
        <w:t xml:space="preserve">b) La precalificación de interesados</w:t>
      </w:r>
    </w:p>
    <w:p>
      <w:pPr>
        <w:keepNext/>
        <w:spacing w:after="20"/>
        <w:ind w:left="1080"/>
      </w:pPr>
      <w:r>
        <w:t xml:space="preserve">c) La garantía de seriedad de la oferta</w:t>
      </w:r>
    </w:p>
    <w:p>
      <w:pPr>
        <w:keepNext w:val="false"/>
        <w:spacing w:after="20"/>
        <w:ind w:left="1080"/>
      </w:pPr>
      <w:r>
        <w:t xml:space="preserve">d) El Registro Único de Proponentes</w:t>
      </w:r>
    </w:p>
    <w:p>
      <w:pPr>
        <w:pStyle w:val="Heading1"/>
      </w:pPr>
      <w:r>
        <w:t xml:space="preserve">Parte B. Evidencia de los principios en los términos de referencia (35 puntos)</w:t>
      </w:r>
    </w:p>
    <w:p>
      <w:pPr>
        <w:keepNext/>
        <w:spacing w:after="120" w:before="60"/>
      </w:pPr>
      <w:r>
        <w:t xml:space="preserve">Complete la matriz con el proceso escogido. Cada fila vale 4 puntos (8 filas, 32 puntos) y la conclusión final vale 3 puntos. Por fila, la calificación es: evidencia concreta con cita (2), valoración justificada (1) y observación o mejora propuesta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4"/>
        <w:gridCol w:w="2688"/>
        <w:gridCol w:w="2016"/>
        <w:gridCol w:w="2016"/>
        <w:gridCol w:w="2016"/>
      </w:tblGrid>
      <w:tr>
        <w:trPr>
          <w:tblHeader/>
        </w:trPr>
        <w:tc>
          <w:tcPr>
            <w:tcW w:type="dxa" w:w="134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Principio</w:t>
            </w:r>
          </w:p>
        </w:tc>
        <w:tc>
          <w:tcPr>
            <w:tcW w:type="dxa" w:w="268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Fundamento normativo</w:t>
            </w:r>
          </w:p>
        </w:tc>
        <w:tc>
          <w:tcPr>
            <w:tcW w:type="dxa" w:w="20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Evidencia en los TdR (documento, numeral, página)</w:t>
            </w:r>
          </w:p>
        </w:tc>
        <w:tc>
          <w:tcPr>
            <w:tcW w:type="dxa" w:w="20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Valoración (cumple / parcial / no cumple)</w:t>
            </w:r>
          </w:p>
        </w:tc>
        <w:tc>
          <w:tcPr>
            <w:tcW w:type="dxa" w:w="20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Observación o mejora</w:t>
            </w: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Transparencia</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Ley 80/1993, art. 24</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Publicidad</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C.P. art. 209; Ley 1150/2007, art. 3; Decreto 1082/2015</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Economía</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Ley 80/1993, art. 25</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Planeación</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Ley 80/1993, art. 25, num. 7 y 12; Decreto 1082/2015 (estudios previos)</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Responsabilidad</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Ley 80/1993, art. 26</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Selección objetiva</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Ley 1150/2007, art. 5</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Igualdad y libre concurrencia</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C.P. art. 13 y 209; Ley 80/1993, art. 24</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1344"/>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Debido proceso y contradicción</w:t>
            </w:r>
          </w:p>
        </w:tc>
        <w:tc>
          <w:tcPr>
            <w:tcW w:type="dxa" w:w="26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C.P. art. 29; Ley 1150/2007, art. 17</w:t>
            </w: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016"/>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bl>
    <w:p>
      <w:pPr>
        <w:spacing w:after="120"/>
      </w:pPr>
    </w:p>
    <w:p>
      <w:pPr>
        <w:keepNext/>
        <w:spacing w:after="120" w:before="60"/>
      </w:pPr>
      <w:r>
        <w:rPr>
          <w:b/>
          <w:bCs/>
        </w:rPr>
        <w:t xml:space="preserve">Conclusión (3 puntos).</w:t>
      </w:r>
      <w:r>
        <w:t xml:space="preserve"> En máximo 150 palabras, diga cuál es el principio mejor evidenciado y cuál el más débil en el proceso analizado. Justifique con las citas de la matriz.</w:t>
      </w:r>
    </w:p>
    <w:tbl>
      <w:tblPr>
        <w:tblW w:type="dxa" w:w="10080"/>
        <w:tblBorders>
          <w:top w:val="none" w:color="FFFFFF" w:sz="0"/>
          <w:left w:val="none" w:color="FFFFFF" w:sz="0"/>
          <w:bottom w:val="single" w:color="A6A6A6" w:sz="4"/>
          <w:right w:val="none" w:color="FFFFFF" w:sz="0"/>
          <w:insideH w:val="single" w:color="A6A6A6" w:sz="4"/>
          <w:insideV w:val="none" w:color="FFFFFF" w:sz="0"/>
        </w:tblBorders>
      </w:tblPr>
      <w:tblGrid>
        <w:gridCol w:w="10080"/>
      </w:tblGrid>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bl>
    <w:p>
      <w:pPr>
        <w:spacing w:after="120"/>
      </w:pPr>
    </w:p>
    <w:p>
      <w:pPr>
        <w:pStyle w:val="Heading1"/>
      </w:pPr>
      <w:r>
        <w:t xml:space="preserve">Parte C. Concurso de méritos vs. licitación pública (30 puntos)</w:t>
      </w:r>
    </w:p>
    <w:p>
      <w:pPr>
        <w:keepNext/>
        <w:spacing w:after="120" w:before="60"/>
      </w:pPr>
      <w:r>
        <w:rPr>
          <w:b/>
          <w:bCs/>
        </w:rPr>
        <w:t xml:space="preserve">C1 (24 puntos).</w:t>
      </w:r>
      <w:r>
        <w:t xml:space="preserve"> Complete el cuadro. Cada fila vale 3 puntos. En la última columna cite dónde se ve esa característica en el pliego que está analizando; si no aparece, explíquelo.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1"/>
        <w:gridCol w:w="2326"/>
        <w:gridCol w:w="2326"/>
        <w:gridCol w:w="2327"/>
      </w:tblGrid>
      <w:tr>
        <w:trPr>
          <w:tblHeader/>
        </w:trPr>
        <w:tc>
          <w:tcPr>
            <w:tcW w:type="dxa" w:w="310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Criterio</w:t>
            </w:r>
          </w:p>
        </w:tc>
        <w:tc>
          <w:tcPr>
            <w:tcW w:type="dxa" w:w="23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Concurso de méritos</w:t>
            </w:r>
          </w:p>
        </w:tc>
        <w:tc>
          <w:tcPr>
            <w:tcW w:type="dxa" w:w="23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Licitación pública</w:t>
            </w:r>
          </w:p>
        </w:tc>
        <w:tc>
          <w:tcPr>
            <w:tcW w:type="dxa" w:w="23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Evidencia en el pliego analizado</w:t>
            </w: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 Objeto contractual que se selecciona y norma que lo define</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 Factores de evaluación y papel del precio</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 Momento y forma de revisar la oferta económica</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 Precalificación de interesados</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5. Plazo mínimo de publicación del proyecto de pliego</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6. Audiencias obligatorias (riesgos, aclaraciones, adjudicación)</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7. Equipo de trabajo y metodología como factor de puntaje</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r>
        <w:trPr>
          <w:cantSplit/>
          <w:trHeight w:val="1150" w:hRule="atLeast"/>
        </w:trPr>
        <w:tc>
          <w:tcPr>
            <w:tcW w:type="dxa" w:w="310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8. Documentos tipo aplicables (Ley 1882/2018)</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327"/>
            <w:tcBorders>
              <w:top w:val="single" w:color="808080" w:sz="4"/>
              <w:left w:val="single" w:color="808080" w:sz="4"/>
              <w:bottom w:val="single" w:color="808080" w:sz="4"/>
              <w:right w:val="single" w:color="808080" w:sz="4"/>
            </w:tcBorders>
            <w:tcMar>
              <w:top w:type="dxa" w:w="60"/>
              <w:left w:type="dxa" w:w="90"/>
              <w:bottom w:type="dxa" w:w="60"/>
              <w:right w:type="dxa" w:w="90"/>
            </w:tcMar>
          </w:tcPr>
          <w:p/>
        </w:tc>
      </w:tr>
    </w:tbl>
    <w:p>
      <w:pPr>
        <w:spacing w:after="120"/>
      </w:pPr>
    </w:p>
    <w:p>
      <w:pPr>
        <w:keepNext/>
        <w:spacing w:after="120" w:before="60"/>
      </w:pPr>
      <w:r>
        <w:rPr>
          <w:b/>
          <w:bCs/>
        </w:rPr>
        <w:t xml:space="preserve">C2 (6 puntos).</w:t>
      </w:r>
      <w:r>
        <w:t xml:space="preserve"> En máximo 200 palabras responda: ¿por qué la ley prohíbe usar el precio como factor de escogencia en la consultoría, pero sí lo permite en la licitación de una obra? Relacione su respuesta con la calidad de los diseños y con el costo de la obra que se construirá a partir de ellos.</w:t>
      </w:r>
    </w:p>
    <w:tbl>
      <w:tblPr>
        <w:tblW w:type="dxa" w:w="10080"/>
        <w:tblBorders>
          <w:top w:val="none" w:color="FFFFFF" w:sz="0"/>
          <w:left w:val="none" w:color="FFFFFF" w:sz="0"/>
          <w:bottom w:val="single" w:color="A6A6A6" w:sz="4"/>
          <w:right w:val="none" w:color="FFFFFF" w:sz="0"/>
          <w:insideH w:val="single" w:color="A6A6A6" w:sz="4"/>
          <w:insideV w:val="none" w:color="FFFFFF" w:sz="0"/>
        </w:tblBorders>
      </w:tblPr>
      <w:tblGrid>
        <w:gridCol w:w="10080"/>
      </w:tblGrid>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bl>
    <w:p>
      <w:pPr>
        <w:spacing w:after="120"/>
      </w:pPr>
    </w:p>
    <w:p>
      <w:pPr>
        <w:pStyle w:val="Heading1"/>
      </w:pPr>
      <w:r>
        <w:t xml:space="preserve">Parte D. Casos de análisis crítico (15 puntos, 5 por caso)</w:t>
      </w:r>
    </w:p>
    <w:p>
      <w:pPr>
        <w:keepNext w:val="false"/>
        <w:spacing w:after="120" w:before="60"/>
      </w:pPr>
      <w:r>
        <w:t xml:space="preserve">Para cada caso, diga qué principio se afecta, cite la norma y proponga cómo debería quedar redactado el pliego. Máximo 120 palabras por caso.</w:t>
      </w:r>
    </w:p>
    <w:p>
      <w:pPr>
        <w:keepNext/>
        <w:spacing w:after="120" w:before="60"/>
      </w:pPr>
      <w:r>
        <w:rPr>
          <w:b/>
          <w:bCs/>
        </w:rPr>
        <w:t xml:space="preserve">Caso 1.</w:t>
      </w:r>
      <w:r>
        <w:t xml:space="preserve"> Un municipio abre un concurso de méritos para los estudios y diseños de un colegio. Asigna 60 puntos a la experiencia del proponente, 20 al equipo de trabajo y 20 al “menor valor ofertado”.</w:t>
      </w:r>
    </w:p>
    <w:tbl>
      <w:tblPr>
        <w:tblW w:type="dxa" w:w="10080"/>
        <w:tblBorders>
          <w:top w:val="none" w:color="FFFFFF" w:sz="0"/>
          <w:left w:val="none" w:color="FFFFFF" w:sz="0"/>
          <w:bottom w:val="single" w:color="A6A6A6" w:sz="4"/>
          <w:right w:val="none" w:color="FFFFFF" w:sz="0"/>
          <w:insideH w:val="single" w:color="A6A6A6" w:sz="4"/>
          <w:insideV w:val="none" w:color="FFFFFF" w:sz="0"/>
        </w:tblBorders>
      </w:tblPr>
      <w:tblGrid>
        <w:gridCol w:w="10080"/>
      </w:tblGrid>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bl>
    <w:p>
      <w:pPr>
        <w:spacing w:after="120"/>
      </w:pPr>
    </w:p>
    <w:p>
      <w:pPr>
        <w:keepNext/>
        <w:spacing w:after="120" w:before="60"/>
      </w:pPr>
      <w:r>
        <w:rPr>
          <w:b/>
          <w:bCs/>
        </w:rPr>
        <w:t xml:space="preserve">Caso 2.</w:t>
      </w:r>
      <w:r>
        <w:t xml:space="preserve"> El pliego de un concurso para diseñar un acueducto rural exige que el director de consultoría tenga un doctorado y 20 años de experiencia específica en plantas de tratamiento. El presupuesto oficial es de 180 millones de pesos.</w:t>
      </w:r>
    </w:p>
    <w:tbl>
      <w:tblPr>
        <w:tblW w:type="dxa" w:w="10080"/>
        <w:tblBorders>
          <w:top w:val="none" w:color="FFFFFF" w:sz="0"/>
          <w:left w:val="none" w:color="FFFFFF" w:sz="0"/>
          <w:bottom w:val="single" w:color="A6A6A6" w:sz="4"/>
          <w:right w:val="none" w:color="FFFFFF" w:sz="0"/>
          <w:insideH w:val="single" w:color="A6A6A6" w:sz="4"/>
          <w:insideV w:val="none" w:color="FFFFFF" w:sz="0"/>
        </w:tblBorders>
      </w:tblPr>
      <w:tblGrid>
        <w:gridCol w:w="10080"/>
      </w:tblGrid>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bl>
    <w:p>
      <w:pPr>
        <w:spacing w:after="120"/>
      </w:pPr>
    </w:p>
    <w:p>
      <w:pPr>
        <w:keepNext/>
        <w:spacing w:after="120" w:before="60"/>
      </w:pPr>
      <w:r>
        <w:rPr>
          <w:b/>
          <w:bCs/>
        </w:rPr>
        <w:t xml:space="preserve">Caso 3.</w:t>
      </w:r>
      <w:r>
        <w:t xml:space="preserve"> Un interesado presentó una observación al proyecto de pliego sobre el plazo de ejecución. La entidad publicó el pliego definitivo sin responderla y, dos días antes del cierre, expidió una adenda que cambia la experiencia exigida.</w:t>
      </w:r>
    </w:p>
    <w:tbl>
      <w:tblPr>
        <w:tblW w:type="dxa" w:w="10080"/>
        <w:tblBorders>
          <w:top w:val="none" w:color="FFFFFF" w:sz="0"/>
          <w:left w:val="none" w:color="FFFFFF" w:sz="0"/>
          <w:bottom w:val="single" w:color="A6A6A6" w:sz="4"/>
          <w:right w:val="none" w:color="FFFFFF" w:sz="0"/>
          <w:insideH w:val="single" w:color="A6A6A6" w:sz="4"/>
          <w:insideV w:val="none" w:color="FFFFFF" w:sz="0"/>
        </w:tblBorders>
      </w:tblPr>
      <w:tblGrid>
        <w:gridCol w:w="10080"/>
      </w:tblGrid>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r>
        <w:trPr>
          <w:trHeight w:val="400" w:hRule="exact"/>
        </w:trPr>
        <w:tc>
          <w:tcPr>
            <w:tcW w:type="dxa" w:w="10080"/>
            <w:tcBorders>
              <w:top w:val="none" w:color="FFFFFF" w:sz="0"/>
              <w:left w:val="none" w:color="FFFFFF" w:sz="0"/>
              <w:bottom w:val="single" w:color="A6A6A6" w:sz="4"/>
              <w:right w:val="none" w:color="FFFFFF" w:sz="0"/>
            </w:tcBorders>
          </w:tcPr>
          <w:p/>
        </w:tc>
      </w:tr>
    </w:tbl>
    <w:p>
      <w:pPr>
        <w:spacing w:after="120"/>
      </w:pPr>
    </w:p>
    <w:p>
      <w:pPr>
        <w:pStyle w:val="Heading1"/>
      </w:pPr>
      <w:r>
        <w:t xml:space="preserve">Rúbrica de calificación</w:t>
      </w:r>
    </w:p>
    <w:p>
      <w:pPr>
        <w:keepNext/>
        <w:spacing w:after="120" w:before="60"/>
      </w:pPr>
      <w:r>
        <w:t xml:space="preserve">Se aplica a las respuestas abiertas de las partes B, C y D. La parte A se califica con la clave.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0"/>
        <w:gridCol w:w="3269"/>
        <w:gridCol w:w="3269"/>
        <w:gridCol w:w="1962"/>
      </w:tblGrid>
      <w:tr>
        <w:trPr>
          <w:tblHeader/>
        </w:trPr>
        <w:tc>
          <w:tcPr>
            <w:tcW w:type="dxa" w:w="158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Criterio</w:t>
            </w:r>
          </w:p>
        </w:tc>
        <w:tc>
          <w:tcPr>
            <w:tcW w:type="dxa" w:w="3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Excelente (100 %)</w:t>
            </w:r>
          </w:p>
        </w:tc>
        <w:tc>
          <w:tcPr>
            <w:tcW w:type="dxa" w:w="3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Aceptable (60 %)</w:t>
            </w:r>
          </w:p>
        </w:tc>
        <w:tc>
          <w:tcPr>
            <w:tcW w:type="dxa" w:w="19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Insuficiente (0–20 %)</w:t>
            </w:r>
          </w:p>
        </w:tc>
      </w:tr>
      <w:tr>
        <w:trPr>
          <w:cantSplit/>
        </w:trPr>
        <w:tc>
          <w:tcPr>
            <w:tcW w:type="dxa" w:w="158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Evidencia documental</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Cita documento, numeral y página; la cita corresponde a lo afirmado</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Cita el documento sin numeral, o la cita es parcial</w:t>
            </w:r>
          </w:p>
        </w:tc>
        <w:tc>
          <w:tcPr>
            <w:tcW w:type="dxa" w:w="196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No cita, o lo citado no corresponde</w:t>
            </w:r>
          </w:p>
        </w:tc>
      </w:tr>
      <w:tr>
        <w:trPr>
          <w:cantSplit/>
        </w:trPr>
        <w:tc>
          <w:tcPr>
            <w:tcW w:type="dxa" w:w="158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Fundamento normativo</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Relaciona el principio o la diferencia con la norma correcta (ley, artículo, decreto)</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Menciona la norma sin el artículo, o con imprecisiones menores</w:t>
            </w:r>
          </w:p>
        </w:tc>
        <w:tc>
          <w:tcPr>
            <w:tcW w:type="dxa" w:w="196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Sin norma o con una norma equivocada</w:t>
            </w:r>
          </w:p>
        </w:tc>
      </w:tr>
      <w:tr>
        <w:trPr>
          <w:cantSplit/>
        </w:trPr>
        <w:tc>
          <w:tcPr>
            <w:tcW w:type="dxa" w:w="158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Análisis crítico</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Valora si el pliego cumple y propone una mejora concreta y viable</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Valora el cumplimiento sin proponer mejora</w:t>
            </w:r>
          </w:p>
        </w:tc>
        <w:tc>
          <w:tcPr>
            <w:tcW w:type="dxa" w:w="196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Solo transcribe el pliego</w:t>
            </w:r>
          </w:p>
        </w:tc>
      </w:tr>
      <w:tr>
        <w:trPr>
          <w:cantSplit/>
        </w:trPr>
        <w:tc>
          <w:tcPr>
            <w:tcW w:type="dxa" w:w="158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Diferenciación de modalidades</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Explica la diferencia y su razón de ser (calidad del diseño vs. precio de la obra)</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Enuncia la diferencia sin explicarla</w:t>
            </w:r>
          </w:p>
        </w:tc>
        <w:tc>
          <w:tcPr>
            <w:tcW w:type="dxa" w:w="196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Confunde las modalidades</w:t>
            </w:r>
          </w:p>
        </w:tc>
      </w:tr>
      <w:tr>
        <w:trPr>
          <w:cantSplit/>
        </w:trPr>
        <w:tc>
          <w:tcPr>
            <w:tcW w:type="dxa" w:w="158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Redacción técnica</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Clara, precisa, dentro del límite de palabras</w:t>
            </w:r>
          </w:p>
        </w:tc>
        <w:tc>
          <w:tcPr>
            <w:tcW w:type="dxa" w:w="326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Comprensible con errores menores</w:t>
            </w:r>
          </w:p>
        </w:tc>
        <w:tc>
          <w:tcPr>
            <w:tcW w:type="dxa" w:w="196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Confusa o fuera del límite</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Examen · Concurso de méritos y principios de la contratación estatal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1F4E79"/>
      <w:sz w:val="32"/>
      <w:szCs w:val="32"/>
    </w:rPr>
  </w:style>
  <w:style w:type="paragraph" w:styleId="Heading1">
    <w:name w:val="Heading 1"/>
    <w:basedOn w:val="Normal"/>
    <w:next w:val="Normal"/>
    <w:qFormat/>
    <w:pPr>
      <w:keepNext/>
      <w:pBdr>
        <w:bottom w:val="single" w:color="1F4E79" w:sz="6" w:space="2"/>
      </w:pBdr>
      <w:spacing w:after="120" w:before="32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 Concurso de méritos y principios de la contratación estatal</dc:title>
  <dc:creator>Ingeniería Civil</dc:creator>
  <cp:lastModifiedBy>Un-named</cp:lastModifiedBy>
  <cp:revision>1</cp:revision>
  <dcterms:created xsi:type="dcterms:W3CDTF">2026-10-19T22:28:17.630Z</dcterms:created>
  <dcterms:modified xsi:type="dcterms:W3CDTF">2026-10-19T22:28:17.631Z</dcterms:modified>
</cp:coreProperties>
</file>

<file path=docProps/custom.xml><?xml version="1.0" encoding="utf-8"?>
<Properties xmlns="http://schemas.openxmlformats.org/officeDocument/2006/custom-properties" xmlns:vt="http://schemas.openxmlformats.org/officeDocument/2006/docPropsVTypes"/>
</file>