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Clave de respuestas: examen de controles de interventoría en obra pública</w:t>
      </w:r>
    </w:p>
    <w:p>
      <w:pPr/>
      <w:r>
        <w:t xml:space="preserve">Oct 19, 2026</w:t>
      </w:r>
      <w:r>
        <w:t xml:space="preserve"> · </w:t>
      </w:r>
      <w:r>
        <w:t xml:space="preserve">@Angel</w:t>
      </w:r>
    </w:p>
    <w:p>
      <w:pPr>
        <w:pStyle w:val="Heading2"/>
      </w:pPr>
      <w:r>
        <w:t xml:space="preserve">Clave de respuestas y criterios de calificación</w:t>
      </w:r>
    </w:p>
    <w:p>
      <w:pPr/>
      <w:r>
        <w:t>Documento solo para el evaluador; no se entrega con el cuestionario. Las referencias normativas se verificaron el 20 de octubre de 2026 con fuentes secundarias; el resultado está en la sección final, Verificación normativa.</w:t>
      </w:r>
    </w:p>
    <w:p>
      <w:pPr>
        <w:pStyle w:val="Heading3"/>
      </w:pPr>
      <w:r>
        <w:t xml:space="preserve">Clave de la Parte I</w:t>
      </w:r>
    </w:p>
    <w:tbl>
      <w:tblPr>
        <w:tblStyle w:val="TableGrid"/>
        <w:tblW w:w="0" w:type="auto"/>
        <w:tblLayout w:type="fixed"/>
        <w:tblLook w:val="04A0" w:firstRow="1" w:lastRow="0" w:firstColumn="0" w:lastColumn="0" w:noHBand="0" w:noVBand="1"/>
      </w:tblPr>
      <w:tblGrid>
        <w:gridCol w:w="720"/>
        <w:gridCol w:w="829"/>
        <w:gridCol w:w="2891"/>
        <w:gridCol w:w="4920"/>
      </w:tblGrid>
      <w:tr>
        <w:trPr>
          <w:tblHeader/>
        </w:trPr>
        <w:tc>
          <w:tcPr>
            <w:tcW w:w="720" w:type="dxa"/>
            <w:shd w:val="clear" w:color="auto" w:fill="F2F2F2"/>
          </w:tcPr>
          <w:p>
            <w:pPr/>
            <w:r>
              <w:t xml:space="preserve">N.º</w:t>
            </w:r>
          </w:p>
        </w:tc>
        <w:tc>
          <w:tcPr>
            <w:tcW w:w="829" w:type="dxa"/>
            <w:shd w:val="clear" w:color="auto" w:fill="F2F2F2"/>
          </w:tcPr>
          <w:p>
            <w:pPr/>
            <w:r>
              <w:t xml:space="preserve">Resp.</w:t>
            </w:r>
          </w:p>
        </w:tc>
        <w:tc>
          <w:tcPr>
            <w:tcW w:w="2891" w:type="dxa"/>
            <w:shd w:val="clear" w:color="auto" w:fill="F2F2F2"/>
          </w:tcPr>
          <w:p>
            <w:pPr/>
            <w:r>
              <w:t xml:space="preserve">Control</w:t>
            </w:r>
          </w:p>
        </w:tc>
        <w:tc>
          <w:tcPr>
            <w:tcW w:w="4920" w:type="dxa"/>
            <w:shd w:val="clear" w:color="auto" w:fill="F2F2F2"/>
          </w:tcPr>
          <w:p>
            <w:pPr/>
            <w:r>
              <w:t xml:space="preserve">Fundamento</w:t>
            </w:r>
          </w:p>
        </w:tc>
      </w:tr>
      <w:tr>
        <w:tc>
          <w:tcPr>
            <w:tcW w:w="720" w:type="dxa"/>
          </w:tcPr>
          <w:p>
            <w:pPr/>
            <w:r>
              <w:t xml:space="preserve">1</w:t>
            </w:r>
          </w:p>
        </w:tc>
        <w:tc>
          <w:tcPr>
            <w:tcW w:w="829" w:type="dxa"/>
          </w:tcPr>
          <w:p>
            <w:pPr/>
            <w:r>
              <w:t xml:space="preserve">c</w:t>
            </w:r>
          </w:p>
        </w:tc>
        <w:tc>
          <w:tcPr>
            <w:tcW w:w="2891" w:type="dxa"/>
          </w:tcPr>
          <w:p>
            <w:pPr/>
            <w:r>
              <w:t xml:space="preserve">Técnico</w:t>
            </w:r>
          </w:p>
        </w:tc>
        <w:tc>
          <w:tcPr>
            <w:tcW w:w="4920" w:type="dxa"/>
          </w:tcPr>
          <w:p>
            <w:pPr/>
            <w:r>
              <w:t xml:space="preserve">No se avanza a la capa siguiente sin cumplir la especificación; la bitácora deja la prueba.</w:t>
            </w:r>
          </w:p>
        </w:tc>
      </w:tr>
      <w:tr>
        <w:tc>
          <w:tcPr>
            <w:tcW w:w="720" w:type="dxa"/>
          </w:tcPr>
          <w:p>
            <w:pPr/>
            <w:r>
              <w:t xml:space="preserve">2</w:t>
            </w:r>
          </w:p>
        </w:tc>
        <w:tc>
          <w:tcPr>
            <w:tcW w:w="829" w:type="dxa"/>
          </w:tcPr>
          <w:p>
            <w:pPr/>
            <w:r>
              <w:t xml:space="preserve">a</w:t>
            </w:r>
          </w:p>
        </w:tc>
        <w:tc>
          <w:tcPr>
            <w:tcW w:w="2891" w:type="dxa"/>
          </w:tcPr>
          <w:p>
            <w:pPr/>
            <w:r>
              <w:t xml:space="preserve">Técnico</w:t>
            </w:r>
          </w:p>
        </w:tc>
        <w:tc>
          <w:tcPr>
            <w:tcW w:w="4920" w:type="dxa"/>
          </w:tcPr>
          <w:p>
            <w:pPr/>
            <w:r>
              <w:t xml:space="preserve">La NSR-10 (C.5.6) prevé la investigación con núcleos y evaluación estructural antes de demoler.</w:t>
            </w:r>
          </w:p>
        </w:tc>
      </w:tr>
      <w:tr>
        <w:tc>
          <w:tcPr>
            <w:tcW w:w="720" w:type="dxa"/>
          </w:tcPr>
          <w:p>
            <w:pPr/>
            <w:r>
              <w:t xml:space="preserve">3</w:t>
            </w:r>
          </w:p>
        </w:tc>
        <w:tc>
          <w:tcPr>
            <w:tcW w:w="829" w:type="dxa"/>
          </w:tcPr>
          <w:p>
            <w:pPr/>
            <w:r>
              <w:t xml:space="preserve">d</w:t>
            </w:r>
          </w:p>
        </w:tc>
        <w:tc>
          <w:tcPr>
            <w:tcW w:w="2891" w:type="dxa"/>
          </w:tcPr>
          <w:p>
            <w:pPr/>
            <w:r>
              <w:t xml:space="preserve">Técnico y financiero</w:t>
            </w:r>
          </w:p>
        </w:tc>
        <w:tc>
          <w:tcPr>
            <w:tcW w:w="4920" w:type="dxa"/>
          </w:tcPr>
          <w:p>
            <w:pPr/>
            <w:r>
              <w:t xml:space="preserve">Solo se paga lo medido y soportado; pagar de más es detrimento patrimonial.</w:t>
            </w:r>
          </w:p>
        </w:tc>
      </w:tr>
      <w:tr>
        <w:tc>
          <w:tcPr>
            <w:tcW w:w="720" w:type="dxa"/>
          </w:tcPr>
          <w:p>
            <w:pPr/>
            <w:r>
              <w:t xml:space="preserve">4</w:t>
            </w:r>
          </w:p>
        </w:tc>
        <w:tc>
          <w:tcPr>
            <w:tcW w:w="829" w:type="dxa"/>
          </w:tcPr>
          <w:p>
            <w:pPr/>
            <w:r>
              <w:t xml:space="preserve">c</w:t>
            </w:r>
          </w:p>
        </w:tc>
        <w:tc>
          <w:tcPr>
            <w:tcW w:w="2891" w:type="dxa"/>
          </w:tcPr>
          <w:p>
            <w:pPr/>
            <w:r>
              <w:t xml:space="preserve">Técnico, financiero y jurídico</w:t>
            </w:r>
          </w:p>
        </w:tc>
        <w:tc>
          <w:tcPr>
            <w:tcW w:w="4920" w:type="dxa"/>
          </w:tcPr>
          <w:p>
            <w:pPr/>
            <w:r>
              <w:t xml:space="preserve">El interventor conceptuúa; la entidad aprueba y formaliza con respaldo presupuestal. Se prohíben los hechos cumplidos.</w:t>
            </w:r>
          </w:p>
        </w:tc>
      </w:tr>
      <w:tr>
        <w:tc>
          <w:tcPr>
            <w:tcW w:w="720" w:type="dxa"/>
          </w:tcPr>
          <w:p>
            <w:pPr/>
            <w:r>
              <w:t xml:space="preserve">5</w:t>
            </w:r>
          </w:p>
        </w:tc>
        <w:tc>
          <w:tcPr>
            <w:tcW w:w="829" w:type="dxa"/>
          </w:tcPr>
          <w:p>
            <w:pPr/>
            <w:r>
              <w:t xml:space="preserve">b</w:t>
            </w:r>
          </w:p>
        </w:tc>
        <w:tc>
          <w:tcPr>
            <w:tcW w:w="2891" w:type="dxa"/>
          </w:tcPr>
          <w:p>
            <w:pPr/>
            <w:r>
              <w:t xml:space="preserve">Técnico y jurídico</w:t>
            </w:r>
          </w:p>
        </w:tc>
        <w:tc>
          <w:tcPr>
            <w:tcW w:w="4920" w:type="dxa"/>
          </w:tcPr>
          <w:p>
            <w:pPr/>
            <w:r>
              <w:t xml:space="preserve">El interventor no cambia diseños; el diseñador responde por ellos y la entidad decide.</w:t>
            </w:r>
          </w:p>
        </w:tc>
      </w:tr>
      <w:tr>
        <w:tc>
          <w:tcPr>
            <w:tcW w:w="720" w:type="dxa"/>
          </w:tcPr>
          <w:p>
            <w:pPr/>
            <w:r>
              <w:t xml:space="preserve">6</w:t>
            </w:r>
          </w:p>
        </w:tc>
        <w:tc>
          <w:tcPr>
            <w:tcW w:w="829" w:type="dxa"/>
          </w:tcPr>
          <w:p>
            <w:pPr/>
            <w:r>
              <w:t xml:space="preserve">d</w:t>
            </w:r>
          </w:p>
        </w:tc>
        <w:tc>
          <w:tcPr>
            <w:tcW w:w="2891" w:type="dxa"/>
          </w:tcPr>
          <w:p>
            <w:pPr/>
            <w:r>
              <w:t xml:space="preserve">Administrativo</w:t>
            </w:r>
          </w:p>
        </w:tc>
        <w:tc>
          <w:tcPr>
            <w:tcW w:w="4920" w:type="dxa"/>
          </w:tcPr>
          <w:p>
            <w:pPr/>
            <w:r>
              <w:t xml:space="preserve">El personal ofrecido fue factor de evaluación; el reemplazo debe cumplir al menos el perfil exigido.</w:t>
            </w:r>
          </w:p>
        </w:tc>
      </w:tr>
      <w:tr>
        <w:tc>
          <w:tcPr>
            <w:tcW w:w="720" w:type="dxa"/>
          </w:tcPr>
          <w:p>
            <w:pPr/>
            <w:r>
              <w:t xml:space="preserve">7</w:t>
            </w:r>
          </w:p>
        </w:tc>
        <w:tc>
          <w:tcPr>
            <w:tcW w:w="829" w:type="dxa"/>
          </w:tcPr>
          <w:p>
            <w:pPr/>
            <w:r>
              <w:t xml:space="preserve">a</w:t>
            </w:r>
          </w:p>
        </w:tc>
        <w:tc>
          <w:tcPr>
            <w:tcW w:w="2891" w:type="dxa"/>
          </w:tcPr>
          <w:p>
            <w:pPr/>
            <w:r>
              <w:t xml:space="preserve">Administrativo</w:t>
            </w:r>
          </w:p>
        </w:tc>
        <w:tc>
          <w:tcPr>
            <w:tcW w:w="4920" w:type="dxa"/>
          </w:tcPr>
          <w:p>
            <w:pPr/>
            <w:r>
              <w:t xml:space="preserve">La bitácora es el registro diario oficial y sirve como prueba.</w:t>
            </w:r>
          </w:p>
        </w:tc>
      </w:tr>
      <w:tr>
        <w:tc>
          <w:tcPr>
            <w:tcW w:w="720" w:type="dxa"/>
          </w:tcPr>
          <w:p>
            <w:pPr/>
            <w:r>
              <w:t xml:space="preserve">8</w:t>
            </w:r>
          </w:p>
        </w:tc>
        <w:tc>
          <w:tcPr>
            <w:tcW w:w="829" w:type="dxa"/>
          </w:tcPr>
          <w:p>
            <w:pPr/>
            <w:r>
              <w:t xml:space="preserve">c</w:t>
            </w:r>
          </w:p>
        </w:tc>
        <w:tc>
          <w:tcPr>
            <w:tcW w:w="2891" w:type="dxa"/>
          </w:tcPr>
          <w:p>
            <w:pPr/>
            <w:r>
              <w:t xml:space="preserve">Jurídico</w:t>
            </w:r>
          </w:p>
        </w:tc>
        <w:tc>
          <w:tcPr>
            <w:tcW w:w="4920" w:type="dxa"/>
          </w:tcPr>
          <w:p>
            <w:pPr/>
            <w:r>
              <w:t xml:space="preserve">Artículo 83 de la Ley 1474 de 2011.</w:t>
            </w:r>
          </w:p>
        </w:tc>
      </w:tr>
      <w:tr>
        <w:tc>
          <w:tcPr>
            <w:tcW w:w="720" w:type="dxa"/>
          </w:tcPr>
          <w:p>
            <w:pPr/>
            <w:r>
              <w:t xml:space="preserve">9</w:t>
            </w:r>
          </w:p>
        </w:tc>
        <w:tc>
          <w:tcPr>
            <w:tcW w:w="829" w:type="dxa"/>
          </w:tcPr>
          <w:p>
            <w:pPr/>
            <w:r>
              <w:t xml:space="preserve">b</w:t>
            </w:r>
          </w:p>
        </w:tc>
        <w:tc>
          <w:tcPr>
            <w:tcW w:w="2891" w:type="dxa"/>
          </w:tcPr>
          <w:p>
            <w:pPr/>
            <w:r>
              <w:t xml:space="preserve">Financiero y jurídico</w:t>
            </w:r>
          </w:p>
        </w:tc>
        <w:tc>
          <w:tcPr>
            <w:tcW w:w="4920" w:type="dxa"/>
          </w:tcPr>
          <w:p>
            <w:pPr/>
            <w:r>
              <w:t xml:space="preserve">El anticipo es recurso público hasta su amortización; solo se usa según el plan de inversión.</w:t>
            </w:r>
          </w:p>
        </w:tc>
      </w:tr>
      <w:tr>
        <w:tc>
          <w:tcPr>
            <w:tcW w:w="720" w:type="dxa"/>
          </w:tcPr>
          <w:p>
            <w:pPr/>
            <w:r>
              <w:t xml:space="preserve">10</w:t>
            </w:r>
          </w:p>
        </w:tc>
        <w:tc>
          <w:tcPr>
            <w:tcW w:w="829" w:type="dxa"/>
          </w:tcPr>
          <w:p>
            <w:pPr/>
            <w:r>
              <w:t xml:space="preserve">d</w:t>
            </w:r>
          </w:p>
        </w:tc>
        <w:tc>
          <w:tcPr>
            <w:tcW w:w="2891" w:type="dxa"/>
          </w:tcPr>
          <w:p>
            <w:pPr/>
            <w:r>
              <w:t xml:space="preserve">Financiero</w:t>
            </w:r>
          </w:p>
        </w:tc>
        <w:tc>
          <w:tcPr>
            <w:tcW w:w="4920" w:type="dxa"/>
          </w:tcPr>
          <w:p>
            <w:pPr/>
            <w:r>
              <w:t xml:space="preserve">Artículo 91 de la Ley 1474 de 2011.</w:t>
            </w:r>
          </w:p>
        </w:tc>
      </w:tr>
      <w:tr>
        <w:tc>
          <w:tcPr>
            <w:tcW w:w="720" w:type="dxa"/>
          </w:tcPr>
          <w:p>
            <w:pPr/>
            <w:r>
              <w:t xml:space="preserve">11</w:t>
            </w:r>
          </w:p>
        </w:tc>
        <w:tc>
          <w:tcPr>
            <w:tcW w:w="829" w:type="dxa"/>
          </w:tcPr>
          <w:p>
            <w:pPr/>
            <w:r>
              <w:t xml:space="preserve">a</w:t>
            </w:r>
          </w:p>
        </w:tc>
        <w:tc>
          <w:tcPr>
            <w:tcW w:w="2891" w:type="dxa"/>
          </w:tcPr>
          <w:p>
            <w:pPr/>
            <w:r>
              <w:t xml:space="preserve">Financiero y jurídico</w:t>
            </w:r>
          </w:p>
        </w:tc>
        <w:tc>
          <w:tcPr>
            <w:tcW w:w="4920" w:type="dxa"/>
          </w:tcPr>
          <w:p>
            <w:pPr/>
            <w:r>
              <w:t xml:space="preserve">Artículo 23 de la Ley 1150 de 2007 y artículo 50 de la Ley 789 de 2002.</w:t>
            </w:r>
          </w:p>
        </w:tc>
      </w:tr>
      <w:tr>
        <w:tc>
          <w:tcPr>
            <w:tcW w:w="720" w:type="dxa"/>
          </w:tcPr>
          <w:p>
            <w:pPr/>
            <w:r>
              <w:t xml:space="preserve">12</w:t>
            </w:r>
          </w:p>
        </w:tc>
        <w:tc>
          <w:tcPr>
            <w:tcW w:w="829" w:type="dxa"/>
          </w:tcPr>
          <w:p>
            <w:pPr/>
            <w:r>
              <w:t xml:space="preserve">c</w:t>
            </w:r>
          </w:p>
        </w:tc>
        <w:tc>
          <w:tcPr>
            <w:tcW w:w="2891" w:type="dxa"/>
          </w:tcPr>
          <w:p>
            <w:pPr/>
            <w:r>
              <w:t xml:space="preserve">Financiero</w:t>
            </w:r>
          </w:p>
        </w:tc>
        <w:tc>
          <w:tcPr>
            <w:tcW w:w="4920" w:type="dxa"/>
          </w:tcPr>
          <w:p>
            <w:pPr/>
            <w:r>
              <w:t xml:space="preserve">Se aplica la fórmula pactada; el interventor no puede cambiarla.</w:t>
            </w:r>
          </w:p>
        </w:tc>
      </w:tr>
      <w:tr>
        <w:tc>
          <w:tcPr>
            <w:tcW w:w="720" w:type="dxa"/>
          </w:tcPr>
          <w:p>
            <w:pPr/>
            <w:r>
              <w:t xml:space="preserve">13</w:t>
            </w:r>
          </w:p>
        </w:tc>
        <w:tc>
          <w:tcPr>
            <w:tcW w:w="829" w:type="dxa"/>
          </w:tcPr>
          <w:p>
            <w:pPr/>
            <w:r>
              <w:t xml:space="preserve">a</w:t>
            </w:r>
          </w:p>
        </w:tc>
        <w:tc>
          <w:tcPr>
            <w:tcW w:w="2891" w:type="dxa"/>
          </w:tcPr>
          <w:p>
            <w:pPr/>
            <w:r>
              <w:t xml:space="preserve">Jurídico</w:t>
            </w:r>
          </w:p>
        </w:tc>
        <w:tc>
          <w:tcPr>
            <w:tcW w:w="4920" w:type="dxa"/>
          </w:tcPr>
          <w:p>
            <w:pPr/>
            <w:r>
              <w:t xml:space="preserve">Parágrafo del artículo 40 de la Ley 80: 4.000 + 1.500 = 5.500 &gt; 5.000 (50 %).</w:t>
            </w:r>
          </w:p>
        </w:tc>
      </w:tr>
      <w:tr>
        <w:tc>
          <w:tcPr>
            <w:tcW w:w="720" w:type="dxa"/>
          </w:tcPr>
          <w:p>
            <w:pPr/>
            <w:r>
              <w:t xml:space="preserve">14</w:t>
            </w:r>
          </w:p>
        </w:tc>
        <w:tc>
          <w:tcPr>
            <w:tcW w:w="829" w:type="dxa"/>
          </w:tcPr>
          <w:p>
            <w:pPr/>
            <w:r>
              <w:t xml:space="preserve">d</w:t>
            </w:r>
          </w:p>
        </w:tc>
        <w:tc>
          <w:tcPr>
            <w:tcW w:w="2891" w:type="dxa"/>
          </w:tcPr>
          <w:p>
            <w:pPr/>
            <w:r>
              <w:t xml:space="preserve">Jurídico y administrativo</w:t>
            </w:r>
          </w:p>
        </w:tc>
        <w:tc>
          <w:tcPr>
            <w:tcW w:w="4920" w:type="dxa"/>
          </w:tcPr>
          <w:p>
            <w:pPr/>
            <w:r>
              <w:t xml:space="preserve">Un contrato vencido no se prorroga; el seguimiento al cronograma debió alertar a tiempo.</w:t>
            </w:r>
          </w:p>
        </w:tc>
      </w:tr>
      <w:tr>
        <w:tc>
          <w:tcPr>
            <w:tcW w:w="720" w:type="dxa"/>
          </w:tcPr>
          <w:p>
            <w:pPr/>
            <w:r>
              <w:t xml:space="preserve">15</w:t>
            </w:r>
          </w:p>
        </w:tc>
        <w:tc>
          <w:tcPr>
            <w:tcW w:w="829" w:type="dxa"/>
          </w:tcPr>
          <w:p>
            <w:pPr/>
            <w:r>
              <w:t xml:space="preserve">b</w:t>
            </w:r>
          </w:p>
        </w:tc>
        <w:tc>
          <w:tcPr>
            <w:tcW w:w="2891" w:type="dxa"/>
          </w:tcPr>
          <w:p>
            <w:pPr/>
            <w:r>
              <w:t xml:space="preserve">Jurídico</w:t>
            </w:r>
          </w:p>
        </w:tc>
        <w:tc>
          <w:tcPr>
            <w:tcW w:w="4920" w:type="dxa"/>
          </w:tcPr>
          <w:p>
            <w:pPr/>
            <w:r>
              <w:t xml:space="preserve">Artículo 86 de la Ley 1474 y artículo 17 de la Ley 1150; el interventor informa y soporta.</w:t>
            </w:r>
          </w:p>
        </w:tc>
      </w:tr>
      <w:tr>
        <w:tc>
          <w:tcPr>
            <w:tcW w:w="720" w:type="dxa"/>
          </w:tcPr>
          <w:p>
            <w:pPr/>
            <w:r>
              <w:t xml:space="preserve">16</w:t>
            </w:r>
          </w:p>
        </w:tc>
        <w:tc>
          <w:tcPr>
            <w:tcW w:w="829" w:type="dxa"/>
          </w:tcPr>
          <w:p>
            <w:pPr/>
            <w:r>
              <w:t xml:space="preserve">c</w:t>
            </w:r>
          </w:p>
        </w:tc>
        <w:tc>
          <w:tcPr>
            <w:tcW w:w="2891" w:type="dxa"/>
          </w:tcPr>
          <w:p>
            <w:pPr/>
            <w:r>
              <w:t xml:space="preserve">Jurídico</w:t>
            </w:r>
          </w:p>
        </w:tc>
        <w:tc>
          <w:tcPr>
            <w:tcW w:w="4920" w:type="dxa"/>
          </w:tcPr>
          <w:p>
            <w:pPr/>
            <w:r>
              <w:t xml:space="preserve">Artículos 82 y 84 de la Ley 1474 de 2011.</w:t>
            </w:r>
          </w:p>
        </w:tc>
      </w:tr>
      <w:tr>
        <w:tc>
          <w:tcPr>
            <w:tcW w:w="720" w:type="dxa"/>
          </w:tcPr>
          <w:p>
            <w:pPr/>
            <w:r>
              <w:t xml:space="preserve">17</w:t>
            </w:r>
          </w:p>
        </w:tc>
        <w:tc>
          <w:tcPr>
            <w:tcW w:w="829" w:type="dxa"/>
          </w:tcPr>
          <w:p>
            <w:pPr/>
            <w:r>
              <w:t xml:space="preserve">a</w:t>
            </w:r>
          </w:p>
        </w:tc>
        <w:tc>
          <w:tcPr>
            <w:tcW w:w="2891" w:type="dxa"/>
          </w:tcPr>
          <w:p>
            <w:pPr/>
            <w:r>
              <w:t xml:space="preserve">Ambiental</w:t>
            </w:r>
          </w:p>
        </w:tc>
        <w:tc>
          <w:tcPr>
            <w:tcW w:w="4920" w:type="dxa"/>
          </w:tcPr>
          <w:p>
            <w:pPr/>
            <w:r>
              <w:t xml:space="preserve">Disposición de sobrantes solo en sitios autorizados (PAGA o PMA; Resolución 0472 de 2017, modificada por la Resolución 1257 de 2021, sobre RCD).</w:t>
            </w:r>
          </w:p>
        </w:tc>
      </w:tr>
      <w:tr>
        <w:tc>
          <w:tcPr>
            <w:tcW w:w="720" w:type="dxa"/>
          </w:tcPr>
          <w:p>
            <w:pPr/>
            <w:r>
              <w:t xml:space="preserve">18</w:t>
            </w:r>
          </w:p>
        </w:tc>
        <w:tc>
          <w:tcPr>
            <w:tcW w:w="829" w:type="dxa"/>
          </w:tcPr>
          <w:p>
            <w:pPr/>
            <w:r>
              <w:t xml:space="preserve">d</w:t>
            </w:r>
          </w:p>
        </w:tc>
        <w:tc>
          <w:tcPr>
            <w:tcW w:w="2891" w:type="dxa"/>
          </w:tcPr>
          <w:p>
            <w:pPr/>
            <w:r>
              <w:t xml:space="preserve">Ambiental</w:t>
            </w:r>
          </w:p>
        </w:tc>
        <w:tc>
          <w:tcPr>
            <w:tcW w:w="4920" w:type="dxa"/>
          </w:tcPr>
          <w:p>
            <w:pPr/>
            <w:r>
              <w:t xml:space="preserve">El aprovechamiento forestal requiere permiso previo de la autoridad ambiental.</w:t>
            </w:r>
          </w:p>
        </w:tc>
      </w:tr>
      <w:tr>
        <w:tc>
          <w:tcPr>
            <w:tcW w:w="720" w:type="dxa"/>
          </w:tcPr>
          <w:p>
            <w:pPr/>
            <w:r>
              <w:t xml:space="preserve">19</w:t>
            </w:r>
          </w:p>
        </w:tc>
        <w:tc>
          <w:tcPr>
            <w:tcW w:w="829" w:type="dxa"/>
          </w:tcPr>
          <w:p>
            <w:pPr/>
            <w:r>
              <w:t xml:space="preserve">c</w:t>
            </w:r>
          </w:p>
        </w:tc>
        <w:tc>
          <w:tcPr>
            <w:tcW w:w="2891" w:type="dxa"/>
          </w:tcPr>
          <w:p>
            <w:pPr/>
            <w:r>
              <w:t xml:space="preserve">Social y técnico</w:t>
            </w:r>
          </w:p>
        </w:tc>
        <w:tc>
          <w:tcPr>
            <w:tcW w:w="4920" w:type="dxa"/>
          </w:tcPr>
          <w:p>
            <w:pPr/>
            <w:r>
              <w:t xml:space="preserve">Las actas de vecindad previas permiten comparar el estado antes y después.</w:t>
            </w:r>
          </w:p>
        </w:tc>
      </w:tr>
      <w:tr>
        <w:tc>
          <w:tcPr>
            <w:tcW w:w="720" w:type="dxa"/>
          </w:tcPr>
          <w:p>
            <w:pPr/>
            <w:r>
              <w:t xml:space="preserve">20</w:t>
            </w:r>
          </w:p>
        </w:tc>
        <w:tc>
          <w:tcPr>
            <w:tcW w:w="829" w:type="dxa"/>
          </w:tcPr>
          <w:p>
            <w:pPr/>
            <w:r>
              <w:t xml:space="preserve">b</w:t>
            </w:r>
          </w:p>
        </w:tc>
        <w:tc>
          <w:tcPr>
            <w:tcW w:w="2891" w:type="dxa"/>
          </w:tcPr>
          <w:p>
            <w:pPr/>
            <w:r>
              <w:t xml:space="preserve">Ambiental y social</w:t>
            </w:r>
          </w:p>
        </w:tc>
        <w:tc>
          <w:tcPr>
            <w:tcW w:w="4920" w:type="dxa"/>
          </w:tcPr>
          <w:p>
            <w:pPr/>
            <w:r>
              <w:t xml:space="preserve">Ley 1185 de 2008 y Decreto 138 de 2019 (patrimonio arqueológico, ICANH).</w:t>
            </w:r>
          </w:p>
        </w:tc>
      </w:tr>
      <w:tr>
        <w:tc>
          <w:tcPr>
            <w:tcW w:w="720" w:type="dxa"/>
          </w:tcPr>
          <w:p>
            <w:pPr/>
            <w:r>
              <w:t xml:space="preserve">21</w:t>
            </w:r>
          </w:p>
        </w:tc>
        <w:tc>
          <w:tcPr>
            <w:tcW w:w="829" w:type="dxa"/>
          </w:tcPr>
          <w:p>
            <w:pPr/>
            <w:r>
              <w:t xml:space="preserve">d</w:t>
            </w:r>
          </w:p>
        </w:tc>
        <w:tc>
          <w:tcPr>
            <w:tcW w:w="2891" w:type="dxa"/>
          </w:tcPr>
          <w:p>
            <w:pPr/>
            <w:r>
              <w:t xml:space="preserve">Predial y jurídico</w:t>
            </w:r>
          </w:p>
        </w:tc>
        <w:tc>
          <w:tcPr>
            <w:tcW w:w="4920" w:type="dxa"/>
          </w:tcPr>
          <w:p>
            <w:pPr/>
            <w:r>
              <w:t xml:space="preserve">En APP la gestión predial y su riesgo están regulados en el contrato.</w:t>
            </w:r>
          </w:p>
        </w:tc>
      </w:tr>
      <w:tr>
        <w:tc>
          <w:tcPr>
            <w:tcW w:w="720" w:type="dxa"/>
          </w:tcPr>
          <w:p>
            <w:pPr/>
            <w:r>
              <w:t xml:space="preserve">22</w:t>
            </w:r>
          </w:p>
        </w:tc>
        <w:tc>
          <w:tcPr>
            <w:tcW w:w="829" w:type="dxa"/>
          </w:tcPr>
          <w:p>
            <w:pPr/>
            <w:r>
              <w:t xml:space="preserve">c</w:t>
            </w:r>
          </w:p>
        </w:tc>
        <w:tc>
          <w:tcPr>
            <w:tcW w:w="2891" w:type="dxa"/>
          </w:tcPr>
          <w:p>
            <w:pPr/>
            <w:r>
              <w:t xml:space="preserve">SST</w:t>
            </w:r>
          </w:p>
        </w:tc>
        <w:tc>
          <w:tcPr>
            <w:tcW w:w="4920" w:type="dxa"/>
          </w:tcPr>
          <w:p>
            <w:pPr/>
            <w:r>
              <w:t xml:space="preserve">Resolución 4272 de 2021 (vigente desde agosto de 2022; aplica a riesgo de caída mayor a 2 m) y Decreto 1072 de 2015. El interventor puede ordenar detener una actividad de riesgo inminente.</w:t>
            </w:r>
          </w:p>
        </w:tc>
      </w:tr>
      <w:tr>
        <w:tc>
          <w:tcPr>
            <w:tcW w:w="720" w:type="dxa"/>
          </w:tcPr>
          <w:p>
            <w:pPr/>
            <w:r>
              <w:t xml:space="preserve">23</w:t>
            </w:r>
          </w:p>
        </w:tc>
        <w:tc>
          <w:tcPr>
            <w:tcW w:w="829" w:type="dxa"/>
          </w:tcPr>
          <w:p>
            <w:pPr/>
            <w:r>
              <w:t xml:space="preserve">a</w:t>
            </w:r>
          </w:p>
        </w:tc>
        <w:tc>
          <w:tcPr>
            <w:tcW w:w="2891" w:type="dxa"/>
          </w:tcPr>
          <w:p>
            <w:pPr/>
            <w:r>
              <w:t xml:space="preserve">SST, social y jurídico</w:t>
            </w:r>
          </w:p>
        </w:tc>
        <w:tc>
          <w:tcPr>
            <w:tcW w:w="4920" w:type="dxa"/>
          </w:tcPr>
          <w:p>
            <w:pPr/>
            <w:r>
              <w:t xml:space="preserve">Sin PMT aprobado no se interviene la vía.</w:t>
            </w:r>
          </w:p>
        </w:tc>
      </w:tr>
      <w:tr>
        <w:tc>
          <w:tcPr>
            <w:tcW w:w="720" w:type="dxa"/>
          </w:tcPr>
          <w:p>
            <w:pPr/>
            <w:r>
              <w:t xml:space="preserve">24</w:t>
            </w:r>
          </w:p>
        </w:tc>
        <w:tc>
          <w:tcPr>
            <w:tcW w:w="829" w:type="dxa"/>
          </w:tcPr>
          <w:p>
            <w:pPr/>
            <w:r>
              <w:t xml:space="preserve">d</w:t>
            </w:r>
          </w:p>
        </w:tc>
        <w:tc>
          <w:tcPr>
            <w:tcW w:w="2891" w:type="dxa"/>
          </w:tcPr>
          <w:p>
            <w:pPr/>
            <w:r>
              <w:t xml:space="preserve">Técnico y financiero (APP)</w:t>
            </w:r>
          </w:p>
        </w:tc>
        <w:tc>
          <w:tcPr>
            <w:tcW w:w="4920" w:type="dxa"/>
          </w:tcPr>
          <w:p>
            <w:pPr/>
            <w:r>
              <w:t xml:space="preserve">Ley 1508 de 2012 y el régimen de deducciones del contrato.</w:t>
            </w:r>
          </w:p>
        </w:tc>
      </w:tr>
      <w:tr>
        <w:tc>
          <w:tcPr>
            <w:tcW w:w="720" w:type="dxa"/>
          </w:tcPr>
          <w:p>
            <w:pPr/>
            <w:r>
              <w:t xml:space="preserve">25</w:t>
            </w:r>
          </w:p>
        </w:tc>
        <w:tc>
          <w:tcPr>
            <w:tcW w:w="829" w:type="dxa"/>
          </w:tcPr>
          <w:p>
            <w:pPr/>
            <w:r>
              <w:t xml:space="preserve">b</w:t>
            </w:r>
          </w:p>
        </w:tc>
        <w:tc>
          <w:tcPr>
            <w:tcW w:w="2891" w:type="dxa"/>
          </w:tcPr>
          <w:p>
            <w:pPr/>
            <w:r>
              <w:t xml:space="preserve">Jurídico</w:t>
            </w:r>
          </w:p>
        </w:tc>
        <w:tc>
          <w:tcPr>
            <w:tcW w:w="4920" w:type="dxa"/>
          </w:tcPr>
          <w:p>
            <w:pPr/>
            <w:r>
              <w:t xml:space="preserve">Artículo 11 de la Ley 1150 de 2007.</w:t>
            </w:r>
          </w:p>
        </w:tc>
      </w:tr>
    </w:tbl>
    <w:p>
      <w:pPr>
        <w:pStyle w:val="Heading3"/>
      </w:pPr>
      <w:r>
        <w:t xml:space="preserve">Elementos esperados en la Parte II</w:t>
      </w:r>
    </w:p>
    <w:p>
      <w:pPr/>
      <w:r>
        <w:t xml:space="preserve">Cada respuesta vale 2 puntos: 2 si incluye la acción correcta, el soporte y el destinatario; 1 si la acción es correcta pero sin soporte; 0 si la acción es incorrecta o excede las facultades del interventor.</w:t>
      </w:r>
    </w:p>
    <w:p>
      <w:pPr/>
      <w:r>
        <w:rPr>
          <w:b/>
        </w:rPr>
        <w:t xml:space="preserve">Caso A. Vía secundaria</w:t>
      </w:r>
    </w:p>
    <w:p>
      <w:pPr>
        <w:pStyle w:val="ListParagraph"/>
        <w:numPr>
          <w:ilvl w:val="0"/>
          <w:numId w:val="46"/>
        </w:numPr>
      </w:pPr>
      <w:r>
        <w:t xml:space="preserve">Comparar el registro pluviométrico (IDEAM o pluviómetro de obra) con las anotaciones diarias de la bitácora y con lo previsible para la zona. Analizar la ruta crítica: ¿qué actividades se afectaron y cuánto? La fuente de materiales la ofreció el contratista, así que su legalidad es su riesgo. Exigir un plan de contingencia y, si el atraso es imputable, informar a la entidad para el procedimiento del artículo 86.</w:t>
      </w:r>
    </w:p>
    <w:p>
      <w:pPr>
        <w:pStyle w:val="ListParagraph"/>
        <w:numPr>
          <w:ilvl w:val="0"/>
          <w:numId w:val="46"/>
        </w:numPr>
      </w:pPr>
      <w:r>
        <w:t xml:space="preserve">Excluir del acta los 3.000 m³ hasta tener los ensayos que demuestren el cumplimiento. No se paga obra sin soporte de calidad. Si los ensayos fallan, se ordena la corrección a cargo del contratista.</w:t>
      </w:r>
    </w:p>
    <w:p>
      <w:pPr>
        <w:pStyle w:val="ListParagraph"/>
        <w:numPr>
          <w:ilvl w:val="0"/>
          <w:numId w:val="46"/>
        </w:numPr>
      </w:pPr>
      <w:r>
        <w:t xml:space="preserve">Estudio geotécnico y diseño del muro (por el diseñador o un consultor), cantidades y APU revisados por el interventor frente a precios de referencia, concepto técnico y de conveniencia, certificado de disponibilidad presupuestal, modificación contractual firmada (dentro del límite del 50 %), ampliación de garantías y solo entonces orden de ejecución. Si hay riesgo inminente, informar a la entidad para que evalúe una urgencia manifiesta; el interventor no la declara.</w:t>
      </w:r>
    </w:p>
    <w:p>
      <w:pPr>
        <w:pStyle w:val="ListParagraph"/>
        <w:numPr>
          <w:ilvl w:val="0"/>
          <w:numId w:val="46"/>
        </w:numPr>
      </w:pPr>
      <w:r>
        <w:t xml:space="preserve">Exigir título minero vigente, licencia ambiental o PMA de la fuente y la inscripción en el RUCOM del proveedor. Usar material de explotación ilícita es un delito (aprovechamiento ilícito de recursos naturales) y expone a la entidad, al contratista y al interventor. Se debe cambiar la fuente; el atraso y el mayor costo son del contratista.</w:t>
      </w:r>
    </w:p>
    <w:p>
      <w:pPr/>
      <w:r>
        <w:rPr>
          <w:b/>
        </w:rPr>
        <w:t xml:space="preserve">Caso B. Hospital</w:t>
      </w:r>
    </w:p>
    <w:p>
      <w:pPr>
        <w:pStyle w:val="ListParagraph"/>
        <w:numPr>
          <w:ilvl w:val="0"/>
          <w:numId w:val="47"/>
        </w:numPr>
      </w:pPr>
      <w:r>
        <w:t xml:space="preserve">Tramitar cada inconsistencia como consulta técnica formal al diseñador por medio de la entidad, con un registro y plazo de respuesta. Clasificar las que afectan la ruta crítica. La revisión de planos para construir es obligación del contratista según el pliego; solo se paga un ajuste de diseños si el contrato lo prevé o si se formaliza como modificación. Si los diseños entregados son deficientes, informar a la entidad para que evalúe la responsabilidad del consultor y su póliza de calidad.</w:t>
      </w:r>
    </w:p>
    <w:p>
      <w:pPr>
        <w:pStyle w:val="ListParagraph"/>
        <w:numPr>
          <w:ilvl w:val="0"/>
          <w:numId w:val="47"/>
        </w:numPr>
      </w:pPr>
      <w:r>
        <w:t xml:space="preserve">Pedir a la entidad que solicite la prórroga ante la curaduría o la oficina de planeación antes del vencimiento (artículo 2.2.6.1.2.4.1 del Decreto 1077 de 2015, modificado por el Decreto 1783 de 2021: a más tardar 30 días hábiles antes, con certificación de que la obra se inició). Construir con licencia vencida es una infracción urbanística.</w:t>
      </w:r>
    </w:p>
    <w:p>
      <w:pPr>
        <w:pStyle w:val="ListParagraph"/>
        <w:numPr>
          <w:ilvl w:val="0"/>
          <w:numId w:val="47"/>
        </w:numPr>
      </w:pPr>
      <w:r>
        <w:t xml:space="preserve">El supervisor técnico independiente (Ley 1796 de 2016 y título I de la NSR-10) verifica que la estructura se construya conforme a los planos y la norma sismorresistente. La interventoría controla todo el contrato: alcance, calidad, plazo, costo, garantías, SST y ambiente. Deben coordinarse con comités y compartir información; los conceptos estructurales del supervisor técnico son insumo del recibo.</w:t>
      </w:r>
    </w:p>
    <w:p>
      <w:pPr>
        <w:pStyle w:val="ListParagraph"/>
        <w:numPr>
          <w:ilvl w:val="0"/>
          <w:numId w:val="47"/>
        </w:numPr>
      </w:pPr>
      <w:r>
        <w:t xml:space="preserve">Certificación de conformidad RETIE y RETILAP, pruebas y certificación de las redes de gases medicinales, pruebas hidrosanitarias y de la red contra incendio (NSR-10, títulos J y K), certificado de la supervisión técnica y el certificado técnico de ocupación (Ley 1796), planos récord, manuales de operación y mantenimiento, garantías de equipos y lo necesario para la habilitación del servicio de salud.</w:t>
      </w:r>
    </w:p>
    <w:p>
      <w:pPr/>
      <w:r>
        <w:rPr>
          <w:b/>
        </w:rPr>
        <w:t xml:space="preserve">Caso C. Acueducto y alcantarillado</w:t>
      </w:r>
    </w:p>
    <w:p>
      <w:pPr>
        <w:pStyle w:val="ListParagraph"/>
        <w:numPr>
          <w:ilvl w:val="0"/>
          <w:numId w:val="48"/>
        </w:numPr>
      </w:pPr>
      <w:r>
        <w:t xml:space="preserve">Rechazar el lote no certificado y prohibir su instalación. Para la tubería ya instalada, exigir la certificación del lote (reglamento técnico de tuberías, Resolución 0501 de 2017) o ensayos en laboratorio acreditado. Si no se demuestra el cumplimiento, se retira y reemplaza a costo del contratista y no se paga. Investigar por qué se instaló sin verificación previa: es una falla del control de calidad de recibo de materiales.</w:t>
      </w:r>
    </w:p>
    <w:p>
      <w:pPr>
        <w:pStyle w:val="ListParagraph"/>
        <w:numPr>
          <w:ilvl w:val="0"/>
          <w:numId w:val="48"/>
        </w:numPr>
      </w:pPr>
      <w:r>
        <w:t xml:space="preserve">No se recibe ni se paga un tramo hasta superar la prueba hidrostática según la Resolución 0330 de 2017 (RAS) y las normas del operador. Pedir un análisis de causa (uniones, anclajes, tubería). La inspección CCTV, si está exigida, es requisito antes de tapar o de recibir. No se autoriza tapar sin ella.</w:t>
      </w:r>
    </w:p>
    <w:p>
      <w:pPr>
        <w:pStyle w:val="ListParagraph"/>
        <w:numPr>
          <w:ilvl w:val="0"/>
          <w:numId w:val="48"/>
        </w:numPr>
      </w:pPr>
      <w:r>
        <w:t xml:space="preserve">De inmediato: suspender la actividad, aislar y evacuar el área, avisar a la empresa de gas y a los organismos de emergencia, aplicar el PMT y el plan de emergencias. Después: informe del evento, registro en bitácora, revisión de la obligación de identificar interferencias (apiques, detección de redes, consulta a las empresas). El costo depende de la matriz de riesgos y de la diligencia del contratista; si la red no estaba registrada y el contratista hizo la verificación exigida, el riesgo puede no ser suyo.</w:t>
      </w:r>
    </w:p>
    <w:p>
      <w:pPr>
        <w:pStyle w:val="ListParagraph"/>
        <w:numPr>
          <w:ilvl w:val="0"/>
          <w:numId w:val="48"/>
        </w:numPr>
      </w:pPr>
      <w:r>
        <w:t xml:space="preserve">El operador es quien recibe y opera las redes. Si no conoce y acepta los materiales, pruebas y planos durante la obra, puede negarse a recibirlas y la inversión queda sin uso. Se recomienda que participe en los comités y en las pruebas.</w:t>
      </w:r>
    </w:p>
    <w:p>
      <w:pPr/>
      <w:r>
        <w:rPr>
          <w:b/>
        </w:rPr>
        <w:t xml:space="preserve">Caso D. Puente</w:t>
      </w:r>
    </w:p>
    <w:p>
      <w:pPr>
        <w:pStyle w:val="ListParagraph"/>
        <w:numPr>
          <w:ilvl w:val="0"/>
          <w:numId w:val="49"/>
        </w:numPr>
      </w:pPr>
      <w:r>
        <w:t xml:space="preserve">No autorizar dados ni pilas sobre los pilotes cuestionados. Exigir pruebas complementarias (crosshole sónico, extracción de núcleos o prueba de carga) y el concepto del diseñador geotécnico y estructural. Según el resultado: aceptar, reparar o construir pilotes adicionales. Si la falla es constructiva, el costo es del contratista.</w:t>
      </w:r>
    </w:p>
    <w:p>
      <w:pPr>
        <w:pStyle w:val="ListParagraph"/>
        <w:numPr>
          <w:ilvl w:val="0"/>
          <w:numId w:val="49"/>
        </w:numPr>
      </w:pPr>
      <w:r>
        <w:t xml:space="preserve">Verificar si el hecho era imprevisible y extraordinario, y si excede el riesgo asignado (10 %). Solo podría analizarse la parte que excede lo asumido. El contratista debe probar el impacto real: cantidades de acero pendientes de compra, fechas y facturas de compra, y su efecto en la ecuación del contrato, no solo la variación de un índice. El interventor emite un concepto técnico y financiero; la entidad decide (artículos 4, 5 y 27 de la Ley 80).</w:t>
      </w:r>
    </w:p>
    <w:p>
      <w:pPr>
        <w:pStyle w:val="ListParagraph"/>
        <w:numPr>
          <w:ilvl w:val="0"/>
          <w:numId w:val="49"/>
        </w:numPr>
      </w:pPr>
      <w:r>
        <w:t xml:space="preserve">En precio global se paga por hitos o porcentajes de avance pactados; las mayores cantidades son riesgo del contratista, salvo un cambio de alcance pedido por la entidad. El interventor no mide cantidades para pagar, pero sí verifica que cada hito esté completo y cumpla la calidad. En precios unitarios se paga cantidad medida por precio unitario.</w:t>
      </w:r>
    </w:p>
    <w:p>
      <w:pPr>
        <w:pStyle w:val="ListParagraph"/>
        <w:numPr>
          <w:ilvl w:val="0"/>
          <w:numId w:val="49"/>
        </w:numPr>
      </w:pPr>
      <w:r>
        <w:t xml:space="preserve">Prueba de carga estática y dinámica según la Norma Colombiana de Diseño de Puentes (CCP-14) y las especificaciones, registros de tensionamiento del preesfuerzo, ensayos de materiales, nivelación y topografía final, planos récord, manual de inspección y mantenimiento, y póliza de estabilidad.</w:t>
      </w:r>
    </w:p>
    <w:p>
      <w:pPr/>
      <w:r>
        <w:rPr>
          <w:b/>
        </w:rPr>
        <w:t xml:space="preserve">Caso E. Concesión APP</w:t>
      </w:r>
    </w:p>
    <w:p>
      <w:pPr>
        <w:pStyle w:val="ListParagraph"/>
        <w:numPr>
          <w:ilvl w:val="0"/>
          <w:numId w:val="50"/>
        </w:numPr>
      </w:pPr>
      <w:r>
        <w:t xml:space="preserve">Verificar que la Unidad Funcional cumpla todas las especificaciones del apéndice técnico, los indicadores exigidos para su terminación, las obligaciones ambientales y sociales asociadas y los requisitos documentales del contrato. Con 1,8 km de señalización faltante y una compensación pendiente, no recomienda suscribir el acta hasta que se cumplan, o recomienda solo lo que el contrato permita expresamente para pendientes menores.</w:t>
      </w:r>
    </w:p>
    <w:p>
      <w:pPr>
        <w:pStyle w:val="ListParagraph"/>
        <w:numPr>
          <w:ilvl w:val="0"/>
          <w:numId w:val="50"/>
        </w:numPr>
      </w:pPr>
      <w:r>
        <w:t xml:space="preserve">Informar a la entidad concedente con soportes; ella informa a la autoridad ambiental (ANLA) si corresponde. Exigir un cronograma de cumplimiento y evaluar los apremios o multas previstos en el contrato. El incumplimiento de la licencia puede dar lugar a sanciones ambientales (Ley 1333 de 2009, reformada por la Ley 2387 de 2024).</w:t>
      </w:r>
    </w:p>
    <w:p>
      <w:pPr>
        <w:pStyle w:val="ListParagraph"/>
        <w:numPr>
          <w:ilvl w:val="0"/>
          <w:numId w:val="50"/>
        </w:numPr>
      </w:pPr>
      <w:r>
        <w:t xml:space="preserve">Revisar la obligación de fondeo de la subcuenta, el valor estimado de predios y el mecanismo de compensación del riesgo predial (en contratos 4G, con franjas de exceso compartidas entre el concesionario y la entidad). Requerir el fondeo y alertar a la entidad si el déficit puede frenar la gestión predial o activar su parte del riesgo.</w:t>
      </w:r>
    </w:p>
    <w:p>
      <w:pPr>
        <w:pStyle w:val="ListParagraph"/>
        <w:numPr>
          <w:ilvl w:val="0"/>
          <w:numId w:val="50"/>
        </w:numPr>
      </w:pPr>
      <w:r>
        <w:t xml:space="preserve">En APP el control se centra en resultados: niveles de servicio, disponibilidad, especificaciones de las unidades funcionales, cierre financiero, patrimonio autónomo y sus subcuentas, distribución de riesgos y operación y mantenimiento por décadas. El interventor no aprueba cantidades a precio unitario, y la retribución depende de la disponibilidad y el desempeño (Ley 1508 de 2012).</w:t>
      </w:r>
    </w:p>
    <w:p>
      <w:pPr>
        <w:pStyle w:val="Heading3"/>
      </w:pPr>
      <w:r>
        <w:t xml:space="preserve">Clave de la Parte III</w:t>
      </w:r>
    </w:p>
    <w:tbl>
      <w:tblPr>
        <w:tblStyle w:val="TableGrid"/>
        <w:tblW w:w="0" w:type="auto"/>
        <w:tblLayout w:type="fixed"/>
        <w:tblLook w:val="04A0" w:firstRow="1" w:lastRow="0" w:firstColumn="0" w:lastColumn="0" w:noHBand="0" w:noVBand="1"/>
      </w:tblPr>
      <w:tblGrid>
        <w:gridCol w:w="1041"/>
        <w:gridCol w:w="1198"/>
        <w:gridCol w:w="7119"/>
      </w:tblGrid>
      <w:tr>
        <w:trPr>
          <w:tblHeader/>
        </w:trPr>
        <w:tc>
          <w:tcPr>
            <w:tcW w:w="1041" w:type="dxa"/>
            <w:shd w:val="clear" w:color="auto" w:fill="F2F2F2"/>
          </w:tcPr>
          <w:p>
            <w:pPr/>
            <w:r>
              <w:t xml:space="preserve">N.º</w:t>
            </w:r>
          </w:p>
        </w:tc>
        <w:tc>
          <w:tcPr>
            <w:tcW w:w="1198" w:type="dxa"/>
            <w:shd w:val="clear" w:color="auto" w:fill="F2F2F2"/>
          </w:tcPr>
          <w:p>
            <w:pPr/>
            <w:r>
              <w:t xml:space="preserve">V / F</w:t>
            </w:r>
          </w:p>
        </w:tc>
        <w:tc>
          <w:tcPr>
            <w:tcW w:w="7119" w:type="dxa"/>
            <w:shd w:val="clear" w:color="auto" w:fill="F2F2F2"/>
          </w:tcPr>
          <w:p>
            <w:pPr/>
            <w:r>
              <w:t xml:space="preserve">Justificación esperada</w:t>
            </w:r>
          </w:p>
        </w:tc>
      </w:tr>
      <w:tr>
        <w:tc>
          <w:tcPr>
            <w:tcW w:w="1041" w:type="dxa"/>
          </w:tcPr>
          <w:p>
            <w:pPr/>
            <w:r>
              <w:t xml:space="preserve">1</w:t>
            </w:r>
          </w:p>
        </w:tc>
        <w:tc>
          <w:tcPr>
            <w:tcW w:w="1198" w:type="dxa"/>
          </w:tcPr>
          <w:p>
            <w:pPr/>
            <w:r>
              <w:t xml:space="preserve">F</w:t>
            </w:r>
          </w:p>
        </w:tc>
        <w:tc>
          <w:tcPr>
            <w:tcW w:w="7119" w:type="dxa"/>
          </w:tcPr>
          <w:p>
            <w:pPr/>
            <w:r>
              <w:t xml:space="preserve">El interventor no puede modificar el contrato ni sus especificaciones; solo recomienda a la entidad.</w:t>
            </w:r>
          </w:p>
        </w:tc>
      </w:tr>
      <w:tr>
        <w:tc>
          <w:tcPr>
            <w:tcW w:w="1041" w:type="dxa"/>
          </w:tcPr>
          <w:p>
            <w:pPr/>
            <w:r>
              <w:t xml:space="preserve">2</w:t>
            </w:r>
          </w:p>
        </w:tc>
        <w:tc>
          <w:tcPr>
            <w:tcW w:w="1198" w:type="dxa"/>
          </w:tcPr>
          <w:p>
            <w:pPr/>
            <w:r>
              <w:t xml:space="preserve">V</w:t>
            </w:r>
          </w:p>
        </w:tc>
        <w:tc>
          <w:tcPr>
            <w:tcW w:w="7119" w:type="dxa"/>
          </w:tcPr>
          <w:p>
            <w:pPr/>
            <w:r>
              <w:t xml:space="preserve">Parágrafo 1 del numeral 1 del artículo 32 de la Ley 80 de 1993.</w:t>
            </w:r>
          </w:p>
        </w:tc>
      </w:tr>
      <w:tr>
        <w:tc>
          <w:tcPr>
            <w:tcW w:w="1041" w:type="dxa"/>
          </w:tcPr>
          <w:p>
            <w:pPr/>
            <w:r>
              <w:t xml:space="preserve">3</w:t>
            </w:r>
          </w:p>
        </w:tc>
        <w:tc>
          <w:tcPr>
            <w:tcW w:w="1198" w:type="dxa"/>
          </w:tcPr>
          <w:p>
            <w:pPr/>
            <w:r>
              <w:t xml:space="preserve">F</w:t>
            </w:r>
          </w:p>
        </w:tc>
        <w:tc>
          <w:tcPr>
            <w:tcW w:w="7119" w:type="dxa"/>
          </w:tcPr>
          <w:p>
            <w:pPr/>
            <w:r>
              <w:t xml:space="preserve">El contratista sigue respondiendo por estabilidad y calidad (amparo de estabilidad y artículo 2060 del Código Civil).</w:t>
            </w:r>
          </w:p>
        </w:tc>
      </w:tr>
      <w:tr>
        <w:tc>
          <w:tcPr>
            <w:tcW w:w="1041" w:type="dxa"/>
          </w:tcPr>
          <w:p>
            <w:pPr/>
            <w:r>
              <w:t xml:space="preserve">4</w:t>
            </w:r>
          </w:p>
        </w:tc>
        <w:tc>
          <w:tcPr>
            <w:tcW w:w="1198" w:type="dxa"/>
          </w:tcPr>
          <w:p>
            <w:pPr/>
            <w:r>
              <w:t xml:space="preserve">V</w:t>
            </w:r>
          </w:p>
        </w:tc>
        <w:tc>
          <w:tcPr>
            <w:tcW w:w="7119" w:type="dxa"/>
          </w:tcPr>
          <w:p>
            <w:pPr/>
            <w:r>
              <w:t xml:space="preserve">Artículo 2.2.1.2.3.1.14 del Decreto 1082 de 2015: no menor a 5 años; una vigencia menor exige justificación técnica de un experto y solo se define en la etapa precontractual.</w:t>
            </w:r>
          </w:p>
        </w:tc>
      </w:tr>
      <w:tr>
        <w:tc>
          <w:tcPr>
            <w:tcW w:w="1041" w:type="dxa"/>
          </w:tcPr>
          <w:p>
            <w:pPr/>
            <w:r>
              <w:t xml:space="preserve">5</w:t>
            </w:r>
          </w:p>
        </w:tc>
        <w:tc>
          <w:tcPr>
            <w:tcW w:w="1198" w:type="dxa"/>
          </w:tcPr>
          <w:p>
            <w:pPr/>
            <w:r>
              <w:t xml:space="preserve">F</w:t>
            </w:r>
          </w:p>
        </w:tc>
        <w:tc>
          <w:tcPr>
            <w:tcW w:w="7119" w:type="dxa"/>
          </w:tcPr>
          <w:p>
            <w:pPr/>
            <w:r>
              <w:t xml:space="preserve">Los hechos cumplidos están prohibidos; la urgencia manifiesta la declara la entidad por acto administrativo (artículo 42 de la Ley 80).</w:t>
            </w:r>
          </w:p>
        </w:tc>
      </w:tr>
      <w:tr>
        <w:tc>
          <w:tcPr>
            <w:tcW w:w="1041" w:type="dxa"/>
          </w:tcPr>
          <w:p>
            <w:pPr/>
            <w:r>
              <w:t xml:space="preserve">6</w:t>
            </w:r>
          </w:p>
        </w:tc>
        <w:tc>
          <w:tcPr>
            <w:tcW w:w="1198" w:type="dxa"/>
          </w:tcPr>
          <w:p>
            <w:pPr/>
            <w:r>
              <w:t xml:space="preserve">F</w:t>
            </w:r>
          </w:p>
        </w:tc>
        <w:tc>
          <w:tcPr>
            <w:tcW w:w="7119" w:type="dxa"/>
          </w:tcPr>
          <w:p>
            <w:pPr/>
            <w:r>
              <w:t xml:space="preserve">Los rendimientos del anticipo pertenecen a la entidad y deben reintegrarse.</w:t>
            </w:r>
          </w:p>
        </w:tc>
      </w:tr>
      <w:tr>
        <w:tc>
          <w:tcPr>
            <w:tcW w:w="1041" w:type="dxa"/>
          </w:tcPr>
          <w:p>
            <w:pPr/>
            <w:r>
              <w:t xml:space="preserve">7</w:t>
            </w:r>
          </w:p>
        </w:tc>
        <w:tc>
          <w:tcPr>
            <w:tcW w:w="1198" w:type="dxa"/>
          </w:tcPr>
          <w:p>
            <w:pPr/>
            <w:r>
              <w:t xml:space="preserve">V</w:t>
            </w:r>
          </w:p>
        </w:tc>
        <w:tc>
          <w:tcPr>
            <w:tcW w:w="7119" w:type="dxa"/>
          </w:tcPr>
          <w:p>
            <w:pPr/>
            <w:r>
              <w:t xml:space="preserve">Es una garantía obligatoria en obra y su vigencia es parte del control jurídico.</w:t>
            </w:r>
          </w:p>
        </w:tc>
      </w:tr>
      <w:tr>
        <w:tc>
          <w:tcPr>
            <w:tcW w:w="1041" w:type="dxa"/>
          </w:tcPr>
          <w:p>
            <w:pPr/>
            <w:r>
              <w:t xml:space="preserve">8</w:t>
            </w:r>
          </w:p>
        </w:tc>
        <w:tc>
          <w:tcPr>
            <w:tcW w:w="1198" w:type="dxa"/>
          </w:tcPr>
          <w:p>
            <w:pPr/>
            <w:r>
              <w:t xml:space="preserve">F</w:t>
            </w:r>
          </w:p>
        </w:tc>
        <w:tc>
          <w:tcPr>
            <w:tcW w:w="7119" w:type="dxa"/>
          </w:tcPr>
          <w:p>
            <w:pPr/>
            <w:r>
              <w:t xml:space="preserve">Las garantías deben ajustarse para cubrir el nuevo plazo total del contrato.</w:t>
            </w:r>
          </w:p>
        </w:tc>
      </w:tr>
      <w:tr>
        <w:tc>
          <w:tcPr>
            <w:tcW w:w="1041" w:type="dxa"/>
          </w:tcPr>
          <w:p>
            <w:pPr/>
            <w:r>
              <w:t xml:space="preserve">9</w:t>
            </w:r>
          </w:p>
        </w:tc>
        <w:tc>
          <w:tcPr>
            <w:tcW w:w="1198" w:type="dxa"/>
          </w:tcPr>
          <w:p>
            <w:pPr/>
            <w:r>
              <w:t xml:space="preserve">V</w:t>
            </w:r>
          </w:p>
        </w:tc>
        <w:tc>
          <w:tcPr>
            <w:tcW w:w="7119" w:type="dxa"/>
          </w:tcPr>
          <w:p>
            <w:pPr/>
            <w:r>
              <w:t xml:space="preserve">Artículo 84 de la Ley 1474 de 2011.</w:t>
            </w:r>
          </w:p>
        </w:tc>
      </w:tr>
      <w:tr>
        <w:tc>
          <w:tcPr>
            <w:tcW w:w="1041" w:type="dxa"/>
          </w:tcPr>
          <w:p>
            <w:pPr/>
            <w:r>
              <w:t xml:space="preserve">10</w:t>
            </w:r>
          </w:p>
        </w:tc>
        <w:tc>
          <w:tcPr>
            <w:tcW w:w="1198" w:type="dxa"/>
          </w:tcPr>
          <w:p>
            <w:pPr/>
            <w:r>
              <w:t xml:space="preserve">F</w:t>
            </w:r>
          </w:p>
        </w:tc>
        <w:tc>
          <w:tcPr>
            <w:tcW w:w="7119" w:type="dxa"/>
          </w:tcPr>
          <w:p>
            <w:pPr/>
            <w:r>
              <w:t xml:space="preserve">Deben cubrir los aspectos técnico, administrativo, financiero, contable, jurídico, ambiental, social y de SST.</w:t>
            </w:r>
          </w:p>
        </w:tc>
      </w:tr>
      <w:tr>
        <w:tc>
          <w:tcPr>
            <w:tcW w:w="1041" w:type="dxa"/>
          </w:tcPr>
          <w:p>
            <w:pPr/>
            <w:r>
              <w:t xml:space="preserve">11</w:t>
            </w:r>
          </w:p>
        </w:tc>
        <w:tc>
          <w:tcPr>
            <w:tcW w:w="1198" w:type="dxa"/>
          </w:tcPr>
          <w:p>
            <w:pPr/>
            <w:r>
              <w:t xml:space="preserve">F</w:t>
            </w:r>
          </w:p>
        </w:tc>
        <w:tc>
          <w:tcPr>
            <w:tcW w:w="7119" w:type="dxa"/>
          </w:tcPr>
          <w:p>
            <w:pPr/>
            <w:r>
              <w:t xml:space="preserve">Si omite verificar o informar, responde (artículos 82 y 84 de la Ley 1474).</w:t>
            </w:r>
          </w:p>
        </w:tc>
      </w:tr>
      <w:tr>
        <w:tc>
          <w:tcPr>
            <w:tcW w:w="1041" w:type="dxa"/>
          </w:tcPr>
          <w:p>
            <w:pPr/>
            <w:r>
              <w:t xml:space="preserve">12</w:t>
            </w:r>
          </w:p>
        </w:tc>
        <w:tc>
          <w:tcPr>
            <w:tcW w:w="1198" w:type="dxa"/>
          </w:tcPr>
          <w:p>
            <w:pPr/>
            <w:r>
              <w:t xml:space="preserve">V</w:t>
            </w:r>
          </w:p>
        </w:tc>
        <w:tc>
          <w:tcPr>
            <w:tcW w:w="7119" w:type="dxa"/>
          </w:tcPr>
          <w:p>
            <w:pPr/>
            <w:r>
              <w:t xml:space="preserve">Configura conflicto de intereses e inhabilidad (Ley 80 y Ley 1474).</w:t>
            </w:r>
          </w:p>
        </w:tc>
      </w:tr>
      <w:tr>
        <w:tc>
          <w:tcPr>
            <w:tcW w:w="1041" w:type="dxa"/>
          </w:tcPr>
          <w:p>
            <w:pPr/>
            <w:r>
              <w:t xml:space="preserve">13</w:t>
            </w:r>
          </w:p>
        </w:tc>
        <w:tc>
          <w:tcPr>
            <w:tcW w:w="1198" w:type="dxa"/>
          </w:tcPr>
          <w:p>
            <w:pPr/>
            <w:r>
              <w:t xml:space="preserve">F</w:t>
            </w:r>
          </w:p>
        </w:tc>
        <w:tc>
          <w:tcPr>
            <w:tcW w:w="7119" w:type="dxa"/>
          </w:tcPr>
          <w:p>
            <w:pPr/>
            <w:r>
              <w:t xml:space="preserve">Se levantan antes de iniciar la intervención, para comparar al final.</w:t>
            </w:r>
          </w:p>
        </w:tc>
      </w:tr>
      <w:tr>
        <w:tc>
          <w:tcPr>
            <w:tcW w:w="1041" w:type="dxa"/>
          </w:tcPr>
          <w:p>
            <w:pPr/>
            <w:r>
              <w:t xml:space="preserve">14</w:t>
            </w:r>
          </w:p>
        </w:tc>
        <w:tc>
          <w:tcPr>
            <w:tcW w:w="1198" w:type="dxa"/>
          </w:tcPr>
          <w:p>
            <w:pPr/>
            <w:r>
              <w:t xml:space="preserve">V</w:t>
            </w:r>
          </w:p>
        </w:tc>
        <w:tc>
          <w:tcPr>
            <w:tcW w:w="7119" w:type="dxa"/>
          </w:tcPr>
          <w:p>
            <w:pPr/>
            <w:r>
              <w:t xml:space="preserve">Artículo 5 de la Ley 1508 de 2012.</w:t>
            </w:r>
          </w:p>
        </w:tc>
      </w:tr>
      <w:tr>
        <w:tc>
          <w:tcPr>
            <w:tcW w:w="1041" w:type="dxa"/>
          </w:tcPr>
          <w:p>
            <w:pPr/>
            <w:r>
              <w:t xml:space="preserve">15</w:t>
            </w:r>
          </w:p>
        </w:tc>
        <w:tc>
          <w:tcPr>
            <w:tcW w:w="1198" w:type="dxa"/>
          </w:tcPr>
          <w:p>
            <w:pPr/>
            <w:r>
              <w:t xml:space="preserve">F</w:t>
            </w:r>
          </w:p>
        </w:tc>
        <w:tc>
          <w:tcPr>
            <w:tcW w:w="7119" w:type="dxa"/>
          </w:tcPr>
          <w:p>
            <w:pPr/>
            <w:r>
              <w:t xml:space="preserve">Es una conducta prohibida; puede ser delito (cohecho) y causa de responsabilidad disciplinaria.</w:t>
            </w:r>
          </w:p>
        </w:tc>
      </w:tr>
    </w:tbl>
    <w:p>
      <w:pPr>
        <w:pStyle w:val="Heading3"/>
      </w:pPr>
      <w:r>
        <w:t xml:space="preserve">Elementos esperados en la Parte IV</w:t>
      </w:r>
    </w:p>
    <w:p>
      <w:pPr/>
      <w:r>
        <w:t xml:space="preserve">Cada pregunta vale 4 puntos.</w:t>
      </w:r>
    </w:p>
    <w:p>
      <w:pPr>
        <w:pStyle w:val="ListParagraph"/>
        <w:numPr>
          <w:ilvl w:val="0"/>
          <w:numId w:val="51"/>
        </w:numPr>
      </w:pPr>
      <w:r>
        <w:rPr>
          <w:b/>
        </w:rPr>
        <w:t xml:space="preserve">Matriz (4 puntos: 1 por cada par de hechos bien tratados, más 1 por citar soportes).</w:t>
      </w:r>
    </w:p>
    <w:tbl>
      <w:tblPr>
        <w:tblStyle w:val="TableGrid"/>
        <w:tblW w:w="0" w:type="auto"/>
        <w:tblLayout w:type="fixed"/>
        <w:tblLook w:val="04A0" w:firstRow="1" w:lastRow="0" w:firstColumn="0" w:lastColumn="0" w:noHBand="0" w:noVBand="1"/>
      </w:tblPr>
      <w:tblGrid>
        <w:gridCol w:w="720"/>
        <w:gridCol w:w="1827"/>
        <w:gridCol w:w="4221"/>
        <w:gridCol w:w="2592"/>
      </w:tblGrid>
      <w:tr>
        <w:trPr>
          <w:tblHeader/>
        </w:trPr>
        <w:tc>
          <w:tcPr>
            <w:tcW w:w="720" w:type="dxa"/>
            <w:shd w:val="clear" w:color="auto" w:fill="F2F2F2"/>
          </w:tcPr>
          <w:p>
            <w:pPr/>
            <w:r>
              <w:t xml:space="preserve">Mes</w:t>
            </w:r>
          </w:p>
        </w:tc>
        <w:tc>
          <w:tcPr>
            <w:tcW w:w="1827" w:type="dxa"/>
            <w:shd w:val="clear" w:color="auto" w:fill="F2F2F2"/>
          </w:tcPr>
          <w:p>
            <w:pPr/>
            <w:r>
              <w:t xml:space="preserve">Controles</w:t>
            </w:r>
          </w:p>
        </w:tc>
        <w:tc>
          <w:tcPr>
            <w:tcW w:w="4221" w:type="dxa"/>
            <w:shd w:val="clear" w:color="auto" w:fill="F2F2F2"/>
          </w:tcPr>
          <w:p>
            <w:pPr/>
            <w:r>
              <w:t xml:space="preserve">Acción de la interventoría</w:t>
            </w:r>
          </w:p>
        </w:tc>
        <w:tc>
          <w:tcPr>
            <w:tcW w:w="2592" w:type="dxa"/>
            <w:shd w:val="clear" w:color="auto" w:fill="F2F2F2"/>
          </w:tcPr>
          <w:p>
            <w:pPr/>
            <w:r>
              <w:t xml:space="preserve">Soporte</w:t>
            </w:r>
          </w:p>
        </w:tc>
      </w:tr>
      <w:tr>
        <w:tc>
          <w:tcPr>
            <w:tcW w:w="720" w:type="dxa"/>
          </w:tcPr>
          <w:p>
            <w:pPr/>
            <w:r>
              <w:t xml:space="preserve">3</w:t>
            </w:r>
          </w:p>
        </w:tc>
        <w:tc>
          <w:tcPr>
            <w:tcW w:w="1827" w:type="dxa"/>
          </w:tcPr>
          <w:p>
            <w:pPr/>
            <w:r>
              <w:t xml:space="preserve">Técnico, administrativo, social</w:t>
            </w:r>
          </w:p>
        </w:tc>
        <w:tc>
          <w:tcPr>
            <w:tcW w:w="4221" w:type="dxa"/>
          </w:tcPr>
          <w:p>
            <w:pPr/>
            <w:r>
              <w:t xml:space="preserve">Requerir a las empresas de servicios, gestionar con la entidad la aprobación de diseños de traslado, reprogramar frentes, documentar si el atraso es imputable.</w:t>
            </w:r>
          </w:p>
        </w:tc>
        <w:tc>
          <w:tcPr>
            <w:tcW w:w="2592" w:type="dxa"/>
          </w:tcPr>
          <w:p>
            <w:pPr/>
            <w:r>
              <w:t xml:space="preserve">Actas de comité con las empresas, comunicaciones, cronograma ajustado.</w:t>
            </w:r>
          </w:p>
        </w:tc>
      </w:tr>
      <w:tr>
        <w:tc>
          <w:tcPr>
            <w:tcW w:w="720" w:type="dxa"/>
          </w:tcPr>
          <w:p>
            <w:pPr/>
            <w:r>
              <w:t xml:space="preserve">7</w:t>
            </w:r>
          </w:p>
        </w:tc>
        <w:tc>
          <w:tcPr>
            <w:tcW w:w="1827" w:type="dxa"/>
          </w:tcPr>
          <w:p>
            <w:pPr/>
            <w:r>
              <w:t xml:space="preserve">SST, jurídico</w:t>
            </w:r>
          </w:p>
        </w:tc>
        <w:tc>
          <w:tcPr>
            <w:tcW w:w="4221" w:type="dxa"/>
          </w:tcPr>
          <w:p>
            <w:pPr/>
            <w:r>
              <w:t xml:space="preserve">Ver pregunta 2.</w:t>
            </w:r>
          </w:p>
        </w:tc>
        <w:tc>
          <w:tcPr>
            <w:tcW w:w="2592" w:type="dxa"/>
          </w:tcPr>
          <w:p>
            <w:pPr/>
            <w:r>
              <w:t xml:space="preserve">Reporte del accidente, investigación, bitácora.</w:t>
            </w:r>
          </w:p>
        </w:tc>
      </w:tr>
      <w:tr>
        <w:tc>
          <w:tcPr>
            <w:tcW w:w="720" w:type="dxa"/>
          </w:tcPr>
          <w:p>
            <w:pPr/>
            <w:r>
              <w:t xml:space="preserve">10</w:t>
            </w:r>
          </w:p>
        </w:tc>
        <w:tc>
          <w:tcPr>
            <w:tcW w:w="1827" w:type="dxa"/>
          </w:tcPr>
          <w:p>
            <w:pPr/>
            <w:r>
              <w:t xml:space="preserve">Técnico, jurídico</w:t>
            </w:r>
          </w:p>
        </w:tc>
        <w:tc>
          <w:tcPr>
            <w:tcW w:w="4221" w:type="dxa"/>
          </w:tcPr>
          <w:p>
            <w:pPr/>
            <w:r>
              <w:t xml:space="preserve">Rechazar el plan insuficiente, exigir uno nuevo con recursos y frentes adicionales, informar a la entidad el posible incumplimiento (artículo 86).</w:t>
            </w:r>
          </w:p>
        </w:tc>
        <w:tc>
          <w:tcPr>
            <w:tcW w:w="2592" w:type="dxa"/>
          </w:tcPr>
          <w:p>
            <w:pPr/>
            <w:r>
              <w:t xml:space="preserve">Informe de incumplimiento, curva S, análisis de ruta crítica.</w:t>
            </w:r>
          </w:p>
        </w:tc>
      </w:tr>
      <w:tr>
        <w:tc>
          <w:tcPr>
            <w:tcW w:w="720" w:type="dxa"/>
          </w:tcPr>
          <w:p>
            <w:pPr/>
            <w:r>
              <w:t xml:space="preserve">12</w:t>
            </w:r>
          </w:p>
        </w:tc>
        <w:tc>
          <w:tcPr>
            <w:tcW w:w="1827" w:type="dxa"/>
          </w:tcPr>
          <w:p>
            <w:pPr/>
            <w:r>
              <w:t xml:space="preserve">Técnico, financiero</w:t>
            </w:r>
          </w:p>
        </w:tc>
        <w:tc>
          <w:tcPr>
            <w:tcW w:w="4221" w:type="dxa"/>
          </w:tcPr>
          <w:p>
            <w:pPr/>
            <w:r>
              <w:t xml:space="preserve">El APU debió contrastarse con los precios de referencia y cotizaciones del mercado; un sobreprecio del 38 % sin justificación no debió avalarse.</w:t>
            </w:r>
          </w:p>
        </w:tc>
        <w:tc>
          <w:tcPr>
            <w:tcW w:w="2592" w:type="dxa"/>
          </w:tcPr>
          <w:p>
            <w:pPr/>
            <w:r>
              <w:t xml:space="preserve">Estudio de precios, cotizaciones, concepto técnico.</w:t>
            </w:r>
          </w:p>
        </w:tc>
      </w:tr>
      <w:tr>
        <w:tc>
          <w:tcPr>
            <w:tcW w:w="720" w:type="dxa"/>
          </w:tcPr>
          <w:p>
            <w:pPr/>
            <w:r>
              <w:t xml:space="preserve">14</w:t>
            </w:r>
          </w:p>
        </w:tc>
        <w:tc>
          <w:tcPr>
            <w:tcW w:w="1827" w:type="dxa"/>
          </w:tcPr>
          <w:p>
            <w:pPr/>
            <w:r>
              <w:t xml:space="preserve">Jurídico, financiero, laboral</w:t>
            </w:r>
          </w:p>
        </w:tc>
        <w:tc>
          <w:tcPr>
            <w:tcW w:w="4221" w:type="dxa"/>
          </w:tcPr>
          <w:p>
            <w:pPr/>
            <w:r>
              <w:t xml:space="preserve">Ver pregunta 3; verificar además los pagos laborales del personal y alertar a la aseguradora.</w:t>
            </w:r>
          </w:p>
        </w:tc>
        <w:tc>
          <w:tcPr>
            <w:tcW w:w="2592" w:type="dxa"/>
          </w:tcPr>
          <w:p>
            <w:pPr/>
            <w:r>
              <w:t xml:space="preserve">Certificado de la Superintendencia de Sociedades, estado de la fiducia.</w:t>
            </w:r>
          </w:p>
        </w:tc>
      </w:tr>
      <w:tr>
        <w:tc>
          <w:tcPr>
            <w:tcW w:w="720" w:type="dxa"/>
          </w:tcPr>
          <w:p>
            <w:pPr/>
            <w:r>
              <w:t xml:space="preserve">16</w:t>
            </w:r>
          </w:p>
        </w:tc>
        <w:tc>
          <w:tcPr>
            <w:tcW w:w="1827" w:type="dxa"/>
          </w:tcPr>
          <w:p>
            <w:pPr/>
            <w:r>
              <w:t xml:space="preserve">Jurídico, financiero</w:t>
            </w:r>
          </w:p>
        </w:tc>
        <w:tc>
          <w:tcPr>
            <w:tcW w:w="4221" w:type="dxa"/>
          </w:tcPr>
          <w:p>
            <w:pPr/>
            <w:r>
              <w:t xml:space="preserve">Ver pregunta 4.</w:t>
            </w:r>
          </w:p>
        </w:tc>
        <w:tc>
          <w:tcPr>
            <w:tcW w:w="2592" w:type="dxa"/>
          </w:tcPr>
          <w:p>
            <w:pPr/>
            <w:r>
              <w:t xml:space="preserve">Respuesta a la Contraloría con soportes.</w:t>
            </w:r>
          </w:p>
        </w:tc>
      </w:tr>
    </w:tbl>
    <w:p>
      <w:pPr>
        <w:pStyle w:val="ListParagraph"/>
        <w:numPr>
          <w:ilvl w:val="0"/>
          <w:numId w:val="51"/>
        </w:numPr>
      </w:pPr>
      <w:r>
        <w:rPr>
          <w:b/>
        </w:rPr>
        <w:t xml:space="preserve">Accidente (4 puntos).</w:t>
      </w:r>
      <w:r>
        <w:t xml:space="preserve"> De inmediato: detener la actividad, atención de la emergencia, asegurar el sitio, verificar que el empleador reporte a la ARL y a la EPS dentro de los 2 días hábiles siguientes (artículo 62 del Decreto 1295 de 1994, con el formato de la Resolución 156 de 2005) e informar a la entidad. Después: exigir la investigación del accidente dentro de los 15 días (Resolución 1401 de 2007), que en caso mortal se remite a la ARL y al Ministerio del Trabajo; revisar las medidas correctivas, los procedimientos de excavación y el entibado según el estudio geotécnico antes de reanudar. Falló la verificación del procedimiento de trabajo seguro en excavaciones y de las inspecciones diarias. Consecuencias: sanciones del Ministerio del Trabajo al empleador, responsabilidad civil y penal, y posible responsabilidad de la interventoría si no exigió las medidas.</w:t>
      </w:r>
    </w:p>
    <w:p>
      <w:pPr>
        <w:pStyle w:val="ListParagraph"/>
        <w:numPr>
          <w:ilvl w:val="0"/>
          <w:numId w:val="51"/>
        </w:numPr>
      </w:pPr>
      <w:r>
        <w:rPr>
          <w:b/>
        </w:rPr>
        <w:t xml:space="preserve">Reorganización (4 puntos).</w:t>
      </w:r>
      <w:r>
        <w:t xml:space="preserve"> La admisión a reorganización no es por sí sola causa de terminación; el artículo 16 de la Ley 1116 de 2006 hace ineficaces las cláusulas que lo prevean, y el artículo 21 impide terminar unilateralmente el contrato o declarar la caducidad por ese solo hecho, salvo que el trámite de caducidad haya empezado antes. El contrato sigue y la entidad puede actuar por incumplimientos reales. El anticipo no amortizado ($7.600 millones) es recurso público en la fiducia y no hace parte de la masa del deudor. Se debe verificar su saldo e inversión y avisar a la aseguradora del riesgo sobre los amparos de anticipo, cumplimiento y salarios. Recomendaciones: requerir un plan de cumplimiento, evaluar la cesión del contrato con autorización de la entidad, o iniciar el procedimiento de incumplimiento si el atraso continúa. Los pagos a subcontratistas son obligación del contratista; la entidad no les paga directamente, pero el incumplimiento laboral sí afecta el amparo de salarios.</w:t>
      </w:r>
    </w:p>
    <w:p>
      <w:pPr>
        <w:pStyle w:val="ListParagraph"/>
        <w:numPr>
          <w:ilvl w:val="0"/>
          <w:numId w:val="51"/>
        </w:numPr>
      </w:pPr>
      <w:r>
        <w:rPr>
          <w:b/>
        </w:rPr>
        <w:t xml:space="preserve">Hallazgo fiscal (4 puntos).</w:t>
      </w:r>
      <w:r>
        <w:t xml:space="preserve"> Responder con los soportes del análisis del APU: estudio de mercado, cotizaciones, justificación técnica del material especial y comparación con precios de referencia. Si no existen o el sobreprecio no se justifica, recomendar a la entidad revisar el precio y recuperar lo pagado de más en las actas siguientes o en la liquidación. El interventor es sujeto de responsabilidad fiscal (Ley 610 de 2000 y artículo 82 de la Ley 1474). El artículo 118 de la Ley 1474 presume culpa grave cuando se omiten las obligaciones de interventoría. También puede haber responsabilidad disciplinaria y penal.</w:t>
      </w:r>
    </w:p>
    <w:p>
      <w:pPr>
        <w:pStyle w:val="ListParagraph"/>
        <w:numPr>
          <w:ilvl w:val="0"/>
          <w:numId w:val="51"/>
        </w:numPr>
      </w:pPr>
      <w:r>
        <w:rPr>
          <w:b/>
        </w:rPr>
        <w:t xml:space="preserve">Informe extraordinario (4 puntos).</w:t>
      </w:r>
      <w:r>
        <w:t xml:space="preserve"> Debe incluir: (a) resumen y alertas; (b) estado técnico y de avance frente al programa, con ruta crítica; (c) estado financiero: valor ejecutado, anticipo y su amortización, saldo en fiducia, reajustes; (d) estado jurídico: garantías, reorganización, procesos de incumplimiento, hallazgo de la Contraloría; (e) SST, ambiental y social, incluido el accidente y las medidas tomadas; (f) riesgos y escenarios: continuidad, cesión o caducidad, con impactos en plazo y costo; (g) recomendaciones concretas con responsables y fechas; (h) anexos de soporte.</w:t>
      </w:r>
    </w:p>
    <w:p>
      <w:pPr>
        <w:pStyle w:val="Heading3"/>
      </w:pPr>
      <w:r>
        <w:t xml:space="preserve">Clave del caso integrador 2. Colegio</w:t>
      </w:r>
    </w:p>
    <w:p>
      <w:pPr/>
      <w:r>
        <w:t xml:space="preserve">Al corte del mes 5 la obra va en 42,50 % contra 52,50 % programado: la desviación de 10 puntos y el SPI de 0,81 obligan a exigir plan de contingencia.</w:t>
      </w:r>
    </w:p>
    <w:p>
      <w:pPr/>
      <w:r>
        <w:rPr>
          <w:b/>
        </w:rPr>
        <w:t xml:space="preserve">1. Programa de inversiones ($ millones)</w:t>
      </w:r>
    </w:p>
    <w:tbl>
      <w:tblPr>
        <w:tblStyle w:val="TableGrid"/>
        <w:tblW w:w="0" w:type="auto"/>
        <w:tblLayout w:type="fixed"/>
        <w:tblLook w:val="04A0" w:firstRow="1" w:lastRow="0" w:firstColumn="0" w:lastColumn="0" w:noHBand="0" w:noVBand="1"/>
      </w:tblPr>
      <w:tblGrid>
        <w:gridCol w:w="2984"/>
        <w:gridCol w:w="720"/>
        <w:gridCol w:w="791"/>
        <w:gridCol w:w="791"/>
        <w:gridCol w:w="791"/>
        <w:gridCol w:w="791"/>
        <w:gridCol w:w="791"/>
        <w:gridCol w:w="791"/>
        <w:gridCol w:w="910"/>
      </w:tblGrid>
      <w:tr>
        <w:trPr>
          <w:tblHeader/>
        </w:trPr>
        <w:tc>
          <w:tcPr>
            <w:tcW w:w="2984" w:type="dxa"/>
            <w:shd w:val="clear" w:color="auto" w:fill="F2F2F2"/>
          </w:tcPr>
          <w:p>
            <w:pPr/>
            <w:r>
              <w:t xml:space="preserve">Actividad</w:t>
            </w:r>
          </w:p>
        </w:tc>
        <w:tc>
          <w:tcPr>
            <w:tcW w:w="720" w:type="dxa"/>
            <w:shd w:val="clear" w:color="auto" w:fill="F2F2F2"/>
          </w:tcPr>
          <w:p>
            <w:pPr/>
            <w:r>
              <w:t xml:space="preserve">M1</w:t>
            </w:r>
          </w:p>
        </w:tc>
        <w:tc>
          <w:tcPr>
            <w:tcW w:w="791" w:type="dxa"/>
            <w:shd w:val="clear" w:color="auto" w:fill="F2F2F2"/>
          </w:tcPr>
          <w:p>
            <w:pPr/>
            <w:r>
              <w:t xml:space="preserve">M2</w:t>
            </w:r>
          </w:p>
        </w:tc>
        <w:tc>
          <w:tcPr>
            <w:tcW w:w="791" w:type="dxa"/>
            <w:shd w:val="clear" w:color="auto" w:fill="F2F2F2"/>
          </w:tcPr>
          <w:p>
            <w:pPr/>
            <w:r>
              <w:t xml:space="preserve">M3</w:t>
            </w:r>
          </w:p>
        </w:tc>
        <w:tc>
          <w:tcPr>
            <w:tcW w:w="791" w:type="dxa"/>
            <w:shd w:val="clear" w:color="auto" w:fill="F2F2F2"/>
          </w:tcPr>
          <w:p>
            <w:pPr/>
            <w:r>
              <w:t xml:space="preserve">M4</w:t>
            </w:r>
          </w:p>
        </w:tc>
        <w:tc>
          <w:tcPr>
            <w:tcW w:w="791" w:type="dxa"/>
            <w:shd w:val="clear" w:color="auto" w:fill="F2F2F2"/>
          </w:tcPr>
          <w:p>
            <w:pPr/>
            <w:r>
              <w:t xml:space="preserve">M5</w:t>
            </w:r>
          </w:p>
        </w:tc>
        <w:tc>
          <w:tcPr>
            <w:tcW w:w="791" w:type="dxa"/>
            <w:shd w:val="clear" w:color="auto" w:fill="F2F2F2"/>
          </w:tcPr>
          <w:p>
            <w:pPr/>
            <w:r>
              <w:t xml:space="preserve">M6</w:t>
            </w:r>
          </w:p>
        </w:tc>
        <w:tc>
          <w:tcPr>
            <w:tcW w:w="791" w:type="dxa"/>
            <w:shd w:val="clear" w:color="auto" w:fill="F2F2F2"/>
          </w:tcPr>
          <w:p>
            <w:pPr/>
            <w:r>
              <w:t xml:space="preserve">M7</w:t>
            </w:r>
          </w:p>
        </w:tc>
        <w:tc>
          <w:tcPr>
            <w:tcW w:w="910" w:type="dxa"/>
            <w:shd w:val="clear" w:color="auto" w:fill="F2F2F2"/>
          </w:tcPr>
          <w:p>
            <w:pPr/>
            <w:r>
              <w:t xml:space="preserve">M8</w:t>
            </w:r>
          </w:p>
        </w:tc>
      </w:tr>
      <w:tr>
        <w:tc>
          <w:tcPr>
            <w:tcW w:w="2984" w:type="dxa"/>
          </w:tcPr>
          <w:p>
            <w:pPr/>
            <w:r>
              <w:t xml:space="preserve">1. Preliminares</w:t>
            </w:r>
          </w:p>
        </w:tc>
        <w:tc>
          <w:tcPr>
            <w:tcW w:w="720" w:type="dxa"/>
          </w:tcPr>
          <w:p>
            <w:pPr/>
            <w:r>
              <w:t xml:space="preserve">200</w:t>
            </w:r>
          </w:p>
        </w:tc>
        <w:tc>
          <w:tcPr>
            <w:tcW w:w="791" w:type="dxa"/>
          </w:tcPr>
          <w:p>
            <w:pPr/>
            <w:r>
              <w:t xml:space="preserve">200</w:t>
            </w:r>
          </w:p>
        </w:tc>
        <w:tc>
          <w:tcPr>
            <w:tcW w:w="791" w:type="dxa"/>
          </w:tcPr>
          <w:p>
            <w:pPr/>
          </w:p>
        </w:tc>
        <w:tc>
          <w:tcPr>
            <w:tcW w:w="791" w:type="dxa"/>
          </w:tcPr>
          <w:p>
            <w:pPr/>
          </w:p>
        </w:tc>
        <w:tc>
          <w:tcPr>
            <w:tcW w:w="791" w:type="dxa"/>
          </w:tcPr>
          <w:p>
            <w:pPr/>
          </w:p>
        </w:tc>
        <w:tc>
          <w:tcPr>
            <w:tcW w:w="791" w:type="dxa"/>
          </w:tcPr>
          <w:p>
            <w:pPr/>
          </w:p>
        </w:tc>
        <w:tc>
          <w:tcPr>
            <w:tcW w:w="791" w:type="dxa"/>
          </w:tcPr>
          <w:p>
            <w:pPr/>
          </w:p>
        </w:tc>
        <w:tc>
          <w:tcPr>
            <w:tcW w:w="910" w:type="dxa"/>
          </w:tcPr>
          <w:p>
            <w:pPr/>
          </w:p>
        </w:tc>
      </w:tr>
      <w:tr>
        <w:tc>
          <w:tcPr>
            <w:tcW w:w="2984" w:type="dxa"/>
          </w:tcPr>
          <w:p>
            <w:pPr/>
            <w:r>
              <w:t xml:space="preserve">2. Cimentación</w:t>
            </w:r>
          </w:p>
        </w:tc>
        <w:tc>
          <w:tcPr>
            <w:tcW w:w="720" w:type="dxa"/>
          </w:tcPr>
          <w:p>
            <w:pPr/>
          </w:p>
        </w:tc>
        <w:tc>
          <w:tcPr>
            <w:tcW w:w="791" w:type="dxa"/>
          </w:tcPr>
          <w:p>
            <w:pPr/>
            <w:r>
              <w:t xml:space="preserve">600</w:t>
            </w:r>
          </w:p>
        </w:tc>
        <w:tc>
          <w:tcPr>
            <w:tcW w:w="791" w:type="dxa"/>
          </w:tcPr>
          <w:p>
            <w:pPr/>
            <w:r>
              <w:t xml:space="preserve">600</w:t>
            </w:r>
          </w:p>
        </w:tc>
        <w:tc>
          <w:tcPr>
            <w:tcW w:w="791" w:type="dxa"/>
          </w:tcPr>
          <w:p>
            <w:pPr/>
          </w:p>
        </w:tc>
        <w:tc>
          <w:tcPr>
            <w:tcW w:w="791" w:type="dxa"/>
          </w:tcPr>
          <w:p>
            <w:pPr/>
          </w:p>
        </w:tc>
        <w:tc>
          <w:tcPr>
            <w:tcW w:w="791" w:type="dxa"/>
          </w:tcPr>
          <w:p>
            <w:pPr/>
          </w:p>
        </w:tc>
        <w:tc>
          <w:tcPr>
            <w:tcW w:w="791" w:type="dxa"/>
          </w:tcPr>
          <w:p>
            <w:pPr/>
          </w:p>
        </w:tc>
        <w:tc>
          <w:tcPr>
            <w:tcW w:w="910" w:type="dxa"/>
          </w:tcPr>
          <w:p>
            <w:pPr/>
          </w:p>
        </w:tc>
      </w:tr>
      <w:tr>
        <w:tc>
          <w:tcPr>
            <w:tcW w:w="2984" w:type="dxa"/>
          </w:tcPr>
          <w:p>
            <w:pPr/>
            <w:r>
              <w:t xml:space="preserve">3. Estructura</w:t>
            </w:r>
          </w:p>
        </w:tc>
        <w:tc>
          <w:tcPr>
            <w:tcW w:w="720" w:type="dxa"/>
          </w:tcPr>
          <w:p>
            <w:pPr/>
          </w:p>
        </w:tc>
        <w:tc>
          <w:tcPr>
            <w:tcW w:w="791" w:type="dxa"/>
          </w:tcPr>
          <w:p>
            <w:pPr/>
          </w:p>
        </w:tc>
        <w:tc>
          <w:tcPr>
            <w:tcW w:w="791" w:type="dxa"/>
          </w:tcPr>
          <w:p>
            <w:pPr/>
            <w:r>
              <w:t xml:space="preserve">600</w:t>
            </w:r>
          </w:p>
        </w:tc>
        <w:tc>
          <w:tcPr>
            <w:tcW w:w="791" w:type="dxa"/>
          </w:tcPr>
          <w:p>
            <w:pPr/>
            <w:r>
              <w:t xml:space="preserve">600</w:t>
            </w:r>
          </w:p>
        </w:tc>
        <w:tc>
          <w:tcPr>
            <w:tcW w:w="791" w:type="dxa"/>
          </w:tcPr>
          <w:p>
            <w:pPr/>
            <w:r>
              <w:t xml:space="preserve">600</w:t>
            </w:r>
          </w:p>
        </w:tc>
        <w:tc>
          <w:tcPr>
            <w:tcW w:w="791" w:type="dxa"/>
          </w:tcPr>
          <w:p>
            <w:pPr/>
            <w:r>
              <w:t xml:space="preserve">600</w:t>
            </w:r>
          </w:p>
        </w:tc>
        <w:tc>
          <w:tcPr>
            <w:tcW w:w="791" w:type="dxa"/>
          </w:tcPr>
          <w:p>
            <w:pPr/>
          </w:p>
        </w:tc>
        <w:tc>
          <w:tcPr>
            <w:tcW w:w="910" w:type="dxa"/>
          </w:tcPr>
          <w:p>
            <w:pPr/>
          </w:p>
        </w:tc>
      </w:tr>
      <w:tr>
        <w:tc>
          <w:tcPr>
            <w:tcW w:w="2984" w:type="dxa"/>
          </w:tcPr>
          <w:p>
            <w:pPr/>
            <w:r>
              <w:t xml:space="preserve">4. Mampostería y cubierta</w:t>
            </w:r>
          </w:p>
        </w:tc>
        <w:tc>
          <w:tcPr>
            <w:tcW w:w="720" w:type="dxa"/>
          </w:tcPr>
          <w:p>
            <w:pPr/>
          </w:p>
        </w:tc>
        <w:tc>
          <w:tcPr>
            <w:tcW w:w="791" w:type="dxa"/>
          </w:tcPr>
          <w:p>
            <w:pPr/>
          </w:p>
        </w:tc>
        <w:tc>
          <w:tcPr>
            <w:tcW w:w="791" w:type="dxa"/>
          </w:tcPr>
          <w:p>
            <w:pPr/>
          </w:p>
        </w:tc>
        <w:tc>
          <w:tcPr>
            <w:tcW w:w="791" w:type="dxa"/>
          </w:tcPr>
          <w:p>
            <w:pPr/>
          </w:p>
        </w:tc>
        <w:tc>
          <w:tcPr>
            <w:tcW w:w="791" w:type="dxa"/>
          </w:tcPr>
          <w:p>
            <w:pPr/>
            <w:r>
              <w:t xml:space="preserve">400</w:t>
            </w:r>
          </w:p>
        </w:tc>
        <w:tc>
          <w:tcPr>
            <w:tcW w:w="791" w:type="dxa"/>
          </w:tcPr>
          <w:p>
            <w:pPr/>
            <w:r>
              <w:t xml:space="preserve">400</w:t>
            </w:r>
          </w:p>
        </w:tc>
        <w:tc>
          <w:tcPr>
            <w:tcW w:w="791" w:type="dxa"/>
          </w:tcPr>
          <w:p>
            <w:pPr/>
            <w:r>
              <w:t xml:space="preserve">400</w:t>
            </w:r>
          </w:p>
        </w:tc>
        <w:tc>
          <w:tcPr>
            <w:tcW w:w="910" w:type="dxa"/>
          </w:tcPr>
          <w:p>
            <w:pPr/>
          </w:p>
        </w:tc>
      </w:tr>
      <w:tr>
        <w:tc>
          <w:tcPr>
            <w:tcW w:w="2984" w:type="dxa"/>
          </w:tcPr>
          <w:p>
            <w:pPr/>
            <w:r>
              <w:t xml:space="preserve">5. Instalaciones</w:t>
            </w:r>
          </w:p>
        </w:tc>
        <w:tc>
          <w:tcPr>
            <w:tcW w:w="720" w:type="dxa"/>
          </w:tcPr>
          <w:p>
            <w:pPr/>
          </w:p>
        </w:tc>
        <w:tc>
          <w:tcPr>
            <w:tcW w:w="791" w:type="dxa"/>
          </w:tcPr>
          <w:p>
            <w:pPr/>
          </w:p>
        </w:tc>
        <w:tc>
          <w:tcPr>
            <w:tcW w:w="791" w:type="dxa"/>
          </w:tcPr>
          <w:p>
            <w:pPr/>
          </w:p>
        </w:tc>
        <w:tc>
          <w:tcPr>
            <w:tcW w:w="791" w:type="dxa"/>
          </w:tcPr>
          <w:p>
            <w:pPr/>
            <w:r>
              <w:t xml:space="preserve">200</w:t>
            </w:r>
          </w:p>
        </w:tc>
        <w:tc>
          <w:tcPr>
            <w:tcW w:w="791" w:type="dxa"/>
          </w:tcPr>
          <w:p>
            <w:pPr/>
            <w:r>
              <w:t xml:space="preserve">200</w:t>
            </w:r>
          </w:p>
        </w:tc>
        <w:tc>
          <w:tcPr>
            <w:tcW w:w="791" w:type="dxa"/>
          </w:tcPr>
          <w:p>
            <w:pPr/>
            <w:r>
              <w:t xml:space="preserve">200</w:t>
            </w:r>
          </w:p>
        </w:tc>
        <w:tc>
          <w:tcPr>
            <w:tcW w:w="791" w:type="dxa"/>
          </w:tcPr>
          <w:p>
            <w:pPr/>
            <w:r>
              <w:t xml:space="preserve">200</w:t>
            </w:r>
          </w:p>
        </w:tc>
        <w:tc>
          <w:tcPr>
            <w:tcW w:w="910" w:type="dxa"/>
          </w:tcPr>
          <w:p>
            <w:pPr/>
            <w:r>
              <w:t xml:space="preserve">200</w:t>
            </w:r>
          </w:p>
        </w:tc>
      </w:tr>
      <w:tr>
        <w:tc>
          <w:tcPr>
            <w:tcW w:w="2984" w:type="dxa"/>
          </w:tcPr>
          <w:p>
            <w:pPr/>
            <w:r>
              <w:t xml:space="preserve">6. Acabados</w:t>
            </w:r>
          </w:p>
        </w:tc>
        <w:tc>
          <w:tcPr>
            <w:tcW w:w="720" w:type="dxa"/>
          </w:tcPr>
          <w:p>
            <w:pPr/>
          </w:p>
        </w:tc>
        <w:tc>
          <w:tcPr>
            <w:tcW w:w="791" w:type="dxa"/>
          </w:tcPr>
          <w:p>
            <w:pPr/>
          </w:p>
        </w:tc>
        <w:tc>
          <w:tcPr>
            <w:tcW w:w="791" w:type="dxa"/>
          </w:tcPr>
          <w:p>
            <w:pPr/>
          </w:p>
        </w:tc>
        <w:tc>
          <w:tcPr>
            <w:tcW w:w="791" w:type="dxa"/>
          </w:tcPr>
          <w:p>
            <w:pPr/>
          </w:p>
        </w:tc>
        <w:tc>
          <w:tcPr>
            <w:tcW w:w="791" w:type="dxa"/>
          </w:tcPr>
          <w:p>
            <w:pPr/>
          </w:p>
        </w:tc>
        <w:tc>
          <w:tcPr>
            <w:tcW w:w="791" w:type="dxa"/>
          </w:tcPr>
          <w:p>
            <w:pPr/>
            <w:r>
              <w:t xml:space="preserve">500</w:t>
            </w:r>
          </w:p>
        </w:tc>
        <w:tc>
          <w:tcPr>
            <w:tcW w:w="791" w:type="dxa"/>
          </w:tcPr>
          <w:p>
            <w:pPr/>
            <w:r>
              <w:t xml:space="preserve">500</w:t>
            </w:r>
          </w:p>
        </w:tc>
        <w:tc>
          <w:tcPr>
            <w:tcW w:w="910" w:type="dxa"/>
          </w:tcPr>
          <w:p>
            <w:pPr/>
            <w:r>
              <w:t xml:space="preserve">500</w:t>
            </w:r>
          </w:p>
        </w:tc>
      </w:tr>
      <w:tr>
        <w:tc>
          <w:tcPr>
            <w:tcW w:w="2984" w:type="dxa"/>
          </w:tcPr>
          <w:p>
            <w:pPr/>
            <w:r>
              <w:t xml:space="preserve">7. Urbanismo</w:t>
            </w:r>
          </w:p>
        </w:tc>
        <w:tc>
          <w:tcPr>
            <w:tcW w:w="720" w:type="dxa"/>
          </w:tcPr>
          <w:p>
            <w:pPr/>
          </w:p>
        </w:tc>
        <w:tc>
          <w:tcPr>
            <w:tcW w:w="791" w:type="dxa"/>
          </w:tcPr>
          <w:p>
            <w:pPr/>
          </w:p>
        </w:tc>
        <w:tc>
          <w:tcPr>
            <w:tcW w:w="791" w:type="dxa"/>
          </w:tcPr>
          <w:p>
            <w:pPr/>
          </w:p>
        </w:tc>
        <w:tc>
          <w:tcPr>
            <w:tcW w:w="791" w:type="dxa"/>
          </w:tcPr>
          <w:p>
            <w:pPr/>
          </w:p>
        </w:tc>
        <w:tc>
          <w:tcPr>
            <w:tcW w:w="791" w:type="dxa"/>
          </w:tcPr>
          <w:p>
            <w:pPr/>
          </w:p>
        </w:tc>
        <w:tc>
          <w:tcPr>
            <w:tcW w:w="791" w:type="dxa"/>
          </w:tcPr>
          <w:p>
            <w:pPr/>
          </w:p>
        </w:tc>
        <w:tc>
          <w:tcPr>
            <w:tcW w:w="791" w:type="dxa"/>
          </w:tcPr>
          <w:p>
            <w:pPr/>
            <w:r>
              <w:t xml:space="preserve">150</w:t>
            </w:r>
          </w:p>
        </w:tc>
        <w:tc>
          <w:tcPr>
            <w:tcW w:w="910" w:type="dxa"/>
          </w:tcPr>
          <w:p>
            <w:pPr/>
            <w:r>
              <w:t xml:space="preserve">150</w:t>
            </w:r>
          </w:p>
        </w:tc>
      </w:tr>
      <w:tr>
        <w:tc>
          <w:tcPr>
            <w:tcW w:w="2984" w:type="dxa"/>
          </w:tcPr>
          <w:p>
            <w:pPr/>
            <w:r>
              <w:rPr>
                <w:b/>
              </w:rPr>
              <w:t xml:space="preserve">Total mensual</w:t>
            </w:r>
          </w:p>
        </w:tc>
        <w:tc>
          <w:tcPr>
            <w:tcW w:w="720" w:type="dxa"/>
          </w:tcPr>
          <w:p>
            <w:pPr/>
            <w:r>
              <w:t xml:space="preserve">200</w:t>
            </w:r>
          </w:p>
        </w:tc>
        <w:tc>
          <w:tcPr>
            <w:tcW w:w="791" w:type="dxa"/>
          </w:tcPr>
          <w:p>
            <w:pPr/>
            <w:r>
              <w:t xml:space="preserve">800</w:t>
            </w:r>
          </w:p>
        </w:tc>
        <w:tc>
          <w:tcPr>
            <w:tcW w:w="791" w:type="dxa"/>
          </w:tcPr>
          <w:p>
            <w:pPr/>
            <w:r>
              <w:t xml:space="preserve">1.200</w:t>
            </w:r>
          </w:p>
        </w:tc>
        <w:tc>
          <w:tcPr>
            <w:tcW w:w="791" w:type="dxa"/>
          </w:tcPr>
          <w:p>
            <w:pPr/>
            <w:r>
              <w:t xml:space="preserve">800</w:t>
            </w:r>
          </w:p>
        </w:tc>
        <w:tc>
          <w:tcPr>
            <w:tcW w:w="791" w:type="dxa"/>
          </w:tcPr>
          <w:p>
            <w:pPr/>
            <w:r>
              <w:t xml:space="preserve">1.200</w:t>
            </w:r>
          </w:p>
        </w:tc>
        <w:tc>
          <w:tcPr>
            <w:tcW w:w="791" w:type="dxa"/>
          </w:tcPr>
          <w:p>
            <w:pPr/>
            <w:r>
              <w:t xml:space="preserve">1.700</w:t>
            </w:r>
          </w:p>
        </w:tc>
        <w:tc>
          <w:tcPr>
            <w:tcW w:w="791" w:type="dxa"/>
          </w:tcPr>
          <w:p>
            <w:pPr/>
            <w:r>
              <w:t xml:space="preserve">1.250</w:t>
            </w:r>
          </w:p>
        </w:tc>
        <w:tc>
          <w:tcPr>
            <w:tcW w:w="910" w:type="dxa"/>
          </w:tcPr>
          <w:p>
            <w:pPr/>
            <w:r>
              <w:t xml:space="preserve">850</w:t>
            </w:r>
          </w:p>
        </w:tc>
      </w:tr>
      <w:tr>
        <w:tc>
          <w:tcPr>
            <w:tcW w:w="2984" w:type="dxa"/>
          </w:tcPr>
          <w:p>
            <w:pPr/>
            <w:r>
              <w:rPr>
                <w:b/>
              </w:rPr>
              <w:t xml:space="preserve">Acumulado</w:t>
            </w:r>
          </w:p>
        </w:tc>
        <w:tc>
          <w:tcPr>
            <w:tcW w:w="720" w:type="dxa"/>
          </w:tcPr>
          <w:p>
            <w:pPr/>
            <w:r>
              <w:t xml:space="preserve">200</w:t>
            </w:r>
          </w:p>
        </w:tc>
        <w:tc>
          <w:tcPr>
            <w:tcW w:w="791" w:type="dxa"/>
          </w:tcPr>
          <w:p>
            <w:pPr/>
            <w:r>
              <w:t xml:space="preserve">1.000</w:t>
            </w:r>
          </w:p>
        </w:tc>
        <w:tc>
          <w:tcPr>
            <w:tcW w:w="791" w:type="dxa"/>
          </w:tcPr>
          <w:p>
            <w:pPr/>
            <w:r>
              <w:t xml:space="preserve">2.200</w:t>
            </w:r>
          </w:p>
        </w:tc>
        <w:tc>
          <w:tcPr>
            <w:tcW w:w="791" w:type="dxa"/>
          </w:tcPr>
          <w:p>
            <w:pPr/>
            <w:r>
              <w:t xml:space="preserve">3.000</w:t>
            </w:r>
          </w:p>
        </w:tc>
        <w:tc>
          <w:tcPr>
            <w:tcW w:w="791" w:type="dxa"/>
          </w:tcPr>
          <w:p>
            <w:pPr/>
            <w:r>
              <w:t xml:space="preserve">4.200</w:t>
            </w:r>
          </w:p>
        </w:tc>
        <w:tc>
          <w:tcPr>
            <w:tcW w:w="791" w:type="dxa"/>
          </w:tcPr>
          <w:p>
            <w:pPr/>
            <w:r>
              <w:t xml:space="preserve">5.900</w:t>
            </w:r>
          </w:p>
        </w:tc>
        <w:tc>
          <w:tcPr>
            <w:tcW w:w="791" w:type="dxa"/>
          </w:tcPr>
          <w:p>
            <w:pPr/>
            <w:r>
              <w:t xml:space="preserve">7.150</w:t>
            </w:r>
          </w:p>
        </w:tc>
        <w:tc>
          <w:tcPr>
            <w:tcW w:w="910" w:type="dxa"/>
          </w:tcPr>
          <w:p>
            <w:pPr/>
            <w:r>
              <w:t xml:space="preserve">8.000</w:t>
            </w:r>
          </w:p>
        </w:tc>
      </w:tr>
      <w:tr>
        <w:tc>
          <w:tcPr>
            <w:tcW w:w="2984" w:type="dxa"/>
          </w:tcPr>
          <w:p>
            <w:pPr/>
            <w:r>
              <w:rPr>
                <w:b/>
              </w:rPr>
              <w:t xml:space="preserve">% acumulado</w:t>
            </w:r>
          </w:p>
        </w:tc>
        <w:tc>
          <w:tcPr>
            <w:tcW w:w="720" w:type="dxa"/>
          </w:tcPr>
          <w:p>
            <w:pPr/>
            <w:r>
              <w:t xml:space="preserve">2,50</w:t>
            </w:r>
          </w:p>
        </w:tc>
        <w:tc>
          <w:tcPr>
            <w:tcW w:w="791" w:type="dxa"/>
          </w:tcPr>
          <w:p>
            <w:pPr/>
            <w:r>
              <w:t xml:space="preserve">12,50</w:t>
            </w:r>
          </w:p>
        </w:tc>
        <w:tc>
          <w:tcPr>
            <w:tcW w:w="791" w:type="dxa"/>
          </w:tcPr>
          <w:p>
            <w:pPr/>
            <w:r>
              <w:t xml:space="preserve">27,50</w:t>
            </w:r>
          </w:p>
        </w:tc>
        <w:tc>
          <w:tcPr>
            <w:tcW w:w="791" w:type="dxa"/>
          </w:tcPr>
          <w:p>
            <w:pPr/>
            <w:r>
              <w:t xml:space="preserve">37,50</w:t>
            </w:r>
          </w:p>
        </w:tc>
        <w:tc>
          <w:tcPr>
            <w:tcW w:w="791" w:type="dxa"/>
          </w:tcPr>
          <w:p>
            <w:pPr/>
            <w:r>
              <w:t xml:space="preserve">52,50</w:t>
            </w:r>
          </w:p>
        </w:tc>
        <w:tc>
          <w:tcPr>
            <w:tcW w:w="791" w:type="dxa"/>
          </w:tcPr>
          <w:p>
            <w:pPr/>
            <w:r>
              <w:t xml:space="preserve">73,75</w:t>
            </w:r>
          </w:p>
        </w:tc>
        <w:tc>
          <w:tcPr>
            <w:tcW w:w="791" w:type="dxa"/>
          </w:tcPr>
          <w:p>
            <w:pPr/>
            <w:r>
              <w:t xml:space="preserve">89,38</w:t>
            </w:r>
          </w:p>
        </w:tc>
        <w:tc>
          <w:tcPr>
            <w:tcW w:w="910" w:type="dxa"/>
          </w:tcPr>
          <w:p>
            <w:pPr/>
            <w:r>
              <w:t xml:space="preserve">100,00</w:t>
            </w:r>
          </w:p>
        </w:tc>
      </w:tr>
      <w:tr>
        <w:tc>
          <w:tcPr>
            <w:tcW w:w="2984" w:type="dxa"/>
          </w:tcPr>
          <w:p>
            <w:pPr/>
            <w:r>
              <w:rPr>
                <w:b/>
              </w:rPr>
              <w:t xml:space="preserve">Ejecutado acumulado</w:t>
            </w:r>
          </w:p>
        </w:tc>
        <w:tc>
          <w:tcPr>
            <w:tcW w:w="720" w:type="dxa"/>
          </w:tcPr>
          <w:p>
            <w:pPr/>
            <w:r>
              <w:t xml:space="preserve">150</w:t>
            </w:r>
          </w:p>
        </w:tc>
        <w:tc>
          <w:tcPr>
            <w:tcW w:w="791" w:type="dxa"/>
          </w:tcPr>
          <w:p>
            <w:pPr/>
            <w:r>
              <w:t xml:space="preserve">750</w:t>
            </w:r>
          </w:p>
        </w:tc>
        <w:tc>
          <w:tcPr>
            <w:tcW w:w="791" w:type="dxa"/>
          </w:tcPr>
          <w:p>
            <w:pPr/>
            <w:r>
              <w:t xml:space="preserve">1.650</w:t>
            </w:r>
          </w:p>
        </w:tc>
        <w:tc>
          <w:tcPr>
            <w:tcW w:w="791" w:type="dxa"/>
          </w:tcPr>
          <w:p>
            <w:pPr/>
            <w:r>
              <w:t xml:space="preserve">2.500</w:t>
            </w:r>
          </w:p>
        </w:tc>
        <w:tc>
          <w:tcPr>
            <w:tcW w:w="791" w:type="dxa"/>
          </w:tcPr>
          <w:p>
            <w:pPr/>
            <w:r>
              <w:t xml:space="preserve">3.400</w:t>
            </w:r>
          </w:p>
        </w:tc>
        <w:tc>
          <w:tcPr>
            <w:tcW w:w="791" w:type="dxa"/>
          </w:tcPr>
          <w:p>
            <w:pPr/>
          </w:p>
        </w:tc>
        <w:tc>
          <w:tcPr>
            <w:tcW w:w="791" w:type="dxa"/>
          </w:tcPr>
          <w:p>
            <w:pPr/>
          </w:p>
        </w:tc>
        <w:tc>
          <w:tcPr>
            <w:tcW w:w="910" w:type="dxa"/>
          </w:tcPr>
          <w:p>
            <w:pPr/>
          </w:p>
        </w:tc>
      </w:tr>
      <w:tr>
        <w:tc>
          <w:tcPr>
            <w:tcW w:w="2984" w:type="dxa"/>
          </w:tcPr>
          <w:p>
            <w:pPr/>
            <w:r>
              <w:rPr>
                <w:b/>
              </w:rPr>
              <w:t xml:space="preserve">% ejecutado acumulado</w:t>
            </w:r>
          </w:p>
        </w:tc>
        <w:tc>
          <w:tcPr>
            <w:tcW w:w="720" w:type="dxa"/>
          </w:tcPr>
          <w:p>
            <w:pPr/>
            <w:r>
              <w:t xml:space="preserve">1,88</w:t>
            </w:r>
          </w:p>
        </w:tc>
        <w:tc>
          <w:tcPr>
            <w:tcW w:w="791" w:type="dxa"/>
          </w:tcPr>
          <w:p>
            <w:pPr/>
            <w:r>
              <w:t xml:space="preserve">9,38</w:t>
            </w:r>
          </w:p>
        </w:tc>
        <w:tc>
          <w:tcPr>
            <w:tcW w:w="791" w:type="dxa"/>
          </w:tcPr>
          <w:p>
            <w:pPr/>
            <w:r>
              <w:t xml:space="preserve">20,63</w:t>
            </w:r>
          </w:p>
        </w:tc>
        <w:tc>
          <w:tcPr>
            <w:tcW w:w="791" w:type="dxa"/>
          </w:tcPr>
          <w:p>
            <w:pPr/>
            <w:r>
              <w:t xml:space="preserve">31,25</w:t>
            </w:r>
          </w:p>
        </w:tc>
        <w:tc>
          <w:tcPr>
            <w:tcW w:w="791" w:type="dxa"/>
          </w:tcPr>
          <w:p>
            <w:pPr/>
            <w:r>
              <w:t xml:space="preserve">42,50</w:t>
            </w:r>
          </w:p>
        </w:tc>
        <w:tc>
          <w:tcPr>
            <w:tcW w:w="791" w:type="dxa"/>
          </w:tcPr>
          <w:p>
            <w:pPr/>
          </w:p>
        </w:tc>
        <w:tc>
          <w:tcPr>
            <w:tcW w:w="791" w:type="dxa"/>
          </w:tcPr>
          <w:p>
            <w:pPr/>
          </w:p>
        </w:tc>
        <w:tc>
          <w:tcPr>
            <w:tcW w:w="910" w:type="dxa"/>
          </w:tcPr>
          <w:p>
            <w:pPr/>
          </w:p>
        </w:tc>
      </w:tr>
    </w:tbl>
    <w:p>
      <w:pPr/>
      <w:r>
        <w:t xml:space="preserve">Puntaje: 4 si el cuadro y los acumulados son correctos; 2 si hay errores de distribución en una o dos actividades.</w:t>
      </w:r>
    </w:p>
    <w:p>
      <w:pPr/>
      <w:r>
        <w:rPr>
          <w:b/>
        </w:rPr>
        <w:t xml:space="preserve">2. Curva S.</w:t>
      </w:r>
      <w:r>
        <w:t xml:space="preserve"> La gráfica de referencia está debajo de este apartado. Puntaje: 4 si ambas curvas parten de 0 en el mes 0, usan porcentaje acumulado en el eje vertical y se rotulan; 2 si falta la curva ejecutada o los rótulos.</w:t>
      </w:r>
    </w:p>
    <w:p>
      <w:pPr/>
      <w:r>
        <w:drawing>
          <wp:inline distT="0" distB="0" distL="0" distR="0">
            <wp:extent cx="5486400" cy="3298371"/>
            <wp:docPr id="1" name="image1" descr="Datos del caso integrador 2 · programa aprobado y actas de los meses 1 a 5"/>
            <a:graphic xmlns:a="http://schemas.openxmlformats.org/drawingml/2006/main">
              <a:graphicData uri="http://schemas.openxmlformats.org/drawingml/2006/picture">
                <pic:pic xmlns:pic="http://schemas.openxmlformats.org/drawingml/2006/picture">
                  <pic:nvPicPr>
                    <pic:cNvPr id="1" name="image1" descr="Datos del caso integrador 2 · programa aprobado y actas de los meses 1 a 5"/>
                    <pic:cNvPicPr/>
                  </pic:nvPicPr>
                  <pic:blipFill>
                    <a:blip r:embed="rId3"/>
                    <a:stretch>
                      <a:fillRect/>
                    </a:stretch>
                  </pic:blipFill>
                  <pic:spPr>
                    <a:xfrm>
                      <a:off x="0" y="0"/>
                      <a:ext cx="5486400" cy="3298371"/>
                    </a:xfrm>
                    <a:prstGeom prst="rect">
                      <a:avLst/>
                    </a:prstGeom>
                  </pic:spPr>
                </pic:pic>
              </a:graphicData>
            </a:graphic>
          </wp:inline>
        </w:drawing>
      </w:r>
    </w:p>
    <w:p>
      <w:pPr/>
      <w:r>
        <w:t xml:space="preserve">Datos del caso integrador 2 · programa aprobado y actas de los meses 1 a 5</w:t>
      </w:r>
    </w:p>
    <w:p>
      <w:pPr/>
      <w:r>
        <w:rPr>
          <w:b/>
        </w:rPr>
        <w:t xml:space="preserve">3. Desviación y SPI al mes 5.</w:t>
      </w:r>
    </w:p>
    <w:p>
      <w:pPr>
        <w:pStyle w:val="ListParagraph"/>
        <w:numPr>
          <w:ilvl w:val="0"/>
          <w:numId w:val="52"/>
        </w:numPr>
      </w:pPr>
      <w:r>
        <w:t xml:space="preserve">Ejecutado acumulado: 3.400 / 8.000 = 42,50 %.</w:t>
      </w:r>
    </w:p>
    <w:p>
      <w:pPr>
        <w:pStyle w:val="ListParagraph"/>
        <w:numPr>
          <w:ilvl w:val="0"/>
          <w:numId w:val="52"/>
        </w:numPr>
      </w:pPr>
      <w:r>
        <w:t xml:space="preserve">Desviación: 52,50 − 42,50 = 10,00 puntos porcentuales, igual al umbral, así que procede exigir plan de contingencia e informar a la entidad.</w:t>
      </w:r>
    </w:p>
    <w:p>
      <w:pPr>
        <w:pStyle w:val="ListParagraph"/>
        <w:numPr>
          <w:ilvl w:val="0"/>
          <w:numId w:val="52"/>
        </w:numPr>
      </w:pPr>
      <w:r>
        <w:t xml:space="preserve">SPI = 3.400 / 4.200 = 0,81. Por cada peso programado se ejecutaron 81 centavos.</w:t>
      </w:r>
    </w:p>
    <w:p>
      <w:pPr>
        <w:pStyle w:val="ListParagraph"/>
        <w:numPr>
          <w:ilvl w:val="0"/>
          <w:numId w:val="52"/>
        </w:numPr>
      </w:pPr>
      <w:r>
        <w:t xml:space="preserve">Revisar primero la estructura: es la actividad de mayor valor ($2.400 millones), está en la ruta crítica y de ella dependen la mampostería, la cubierta y los acabados. También la cimentación, porque el atraso empezó en los meses 2 y 3. El mes 4 superó lo programado (850 contra 800), pero no compensó el atraso acumulado.</w:t>
      </w:r>
    </w:p>
    <w:p>
      <w:pPr/>
      <w:r>
        <w:rPr>
          <w:b/>
        </w:rPr>
        <w:t xml:space="preserve">4. Flujo de efectivo del contratista ($ millones)</w:t>
      </w:r>
    </w:p>
    <w:p>
      <w:pPr/>
      <w:r>
        <w:t xml:space="preserve">Con anticipo: pago neto de cada acta = 65 % de su valor (100 % − 30 % de amortización − 5 % de retención), recibido el mes siguiente.</w:t>
      </w:r>
    </w:p>
    <w:tbl>
      <w:tblPr>
        <w:tblStyle w:val="TableGrid"/>
        <w:tblW w:w="0" w:type="auto"/>
        <w:tblLayout w:type="fixed"/>
        <w:tblLook w:val="04A0" w:firstRow="1" w:lastRow="0" w:firstColumn="0" w:lastColumn="0" w:noHBand="0" w:noVBand="1"/>
      </w:tblPr>
      <w:tblGrid>
        <w:gridCol w:w="1231"/>
        <w:gridCol w:w="1895"/>
        <w:gridCol w:w="1621"/>
        <w:gridCol w:w="2232"/>
        <w:gridCol w:w="2378"/>
      </w:tblGrid>
      <w:tr>
        <w:trPr>
          <w:tblHeader/>
        </w:trPr>
        <w:tc>
          <w:tcPr>
            <w:tcW w:w="1231" w:type="dxa"/>
            <w:shd w:val="clear" w:color="auto" w:fill="F2F2F2"/>
          </w:tcPr>
          <w:p>
            <w:pPr/>
            <w:r>
              <w:t xml:space="preserve">Mes</w:t>
            </w:r>
          </w:p>
        </w:tc>
        <w:tc>
          <w:tcPr>
            <w:tcW w:w="1895" w:type="dxa"/>
            <w:shd w:val="clear" w:color="auto" w:fill="F2F2F2"/>
          </w:tcPr>
          <w:p>
            <w:pPr/>
            <w:r>
              <w:t xml:space="preserve">Ingresos</w:t>
            </w:r>
          </w:p>
        </w:tc>
        <w:tc>
          <w:tcPr>
            <w:tcW w:w="1621" w:type="dxa"/>
            <w:shd w:val="clear" w:color="auto" w:fill="F2F2F2"/>
          </w:tcPr>
          <w:p>
            <w:pPr/>
            <w:r>
              <w:t xml:space="preserve">Costos</w:t>
            </w:r>
          </w:p>
        </w:tc>
        <w:tc>
          <w:tcPr>
            <w:tcW w:w="2232" w:type="dxa"/>
            <w:shd w:val="clear" w:color="auto" w:fill="F2F2F2"/>
          </w:tcPr>
          <w:p>
            <w:pPr/>
            <w:r>
              <w:t xml:space="preserve">Flujo neto</w:t>
            </w:r>
          </w:p>
        </w:tc>
        <w:tc>
          <w:tcPr>
            <w:tcW w:w="2378" w:type="dxa"/>
            <w:shd w:val="clear" w:color="auto" w:fill="F2F2F2"/>
          </w:tcPr>
          <w:p>
            <w:pPr/>
            <w:r>
              <w:t xml:space="preserve">Acumulado</w:t>
            </w:r>
          </w:p>
        </w:tc>
      </w:tr>
      <w:tr>
        <w:tc>
          <w:tcPr>
            <w:tcW w:w="1231" w:type="dxa"/>
          </w:tcPr>
          <w:p>
            <w:pPr/>
            <w:r>
              <w:t xml:space="preserve">0</w:t>
            </w:r>
          </w:p>
        </w:tc>
        <w:tc>
          <w:tcPr>
            <w:tcW w:w="1895" w:type="dxa"/>
          </w:tcPr>
          <w:p>
            <w:pPr/>
            <w:r>
              <w:t xml:space="preserve">2.400,0</w:t>
            </w:r>
          </w:p>
        </w:tc>
        <w:tc>
          <w:tcPr>
            <w:tcW w:w="1621" w:type="dxa"/>
          </w:tcPr>
          <w:p>
            <w:pPr/>
            <w:r>
              <w:t xml:space="preserve">0</w:t>
            </w:r>
          </w:p>
        </w:tc>
        <w:tc>
          <w:tcPr>
            <w:tcW w:w="2232" w:type="dxa"/>
          </w:tcPr>
          <w:p>
            <w:pPr/>
            <w:r>
              <w:t xml:space="preserve">2.400,0</w:t>
            </w:r>
          </w:p>
        </w:tc>
        <w:tc>
          <w:tcPr>
            <w:tcW w:w="2378" w:type="dxa"/>
          </w:tcPr>
          <w:p>
            <w:pPr/>
            <w:r>
              <w:t xml:space="preserve">2.400,0</w:t>
            </w:r>
          </w:p>
        </w:tc>
      </w:tr>
      <w:tr>
        <w:tc>
          <w:tcPr>
            <w:tcW w:w="1231" w:type="dxa"/>
          </w:tcPr>
          <w:p>
            <w:pPr/>
            <w:r>
              <w:t xml:space="preserve">1</w:t>
            </w:r>
          </w:p>
        </w:tc>
        <w:tc>
          <w:tcPr>
            <w:tcW w:w="1895" w:type="dxa"/>
          </w:tcPr>
          <w:p>
            <w:pPr/>
            <w:r>
              <w:t xml:space="preserve">0</w:t>
            </w:r>
          </w:p>
        </w:tc>
        <w:tc>
          <w:tcPr>
            <w:tcW w:w="1621" w:type="dxa"/>
          </w:tcPr>
          <w:p>
            <w:pPr/>
            <w:r>
              <w:t xml:space="preserve">160</w:t>
            </w:r>
          </w:p>
        </w:tc>
        <w:tc>
          <w:tcPr>
            <w:tcW w:w="2232" w:type="dxa"/>
          </w:tcPr>
          <w:p>
            <w:pPr/>
            <w:r>
              <w:t xml:space="preserve">−160,0</w:t>
            </w:r>
          </w:p>
        </w:tc>
        <w:tc>
          <w:tcPr>
            <w:tcW w:w="2378" w:type="dxa"/>
          </w:tcPr>
          <w:p>
            <w:pPr/>
            <w:r>
              <w:t xml:space="preserve">2.240,0</w:t>
            </w:r>
          </w:p>
        </w:tc>
      </w:tr>
      <w:tr>
        <w:tc>
          <w:tcPr>
            <w:tcW w:w="1231" w:type="dxa"/>
          </w:tcPr>
          <w:p>
            <w:pPr/>
            <w:r>
              <w:t xml:space="preserve">2</w:t>
            </w:r>
          </w:p>
        </w:tc>
        <w:tc>
          <w:tcPr>
            <w:tcW w:w="1895" w:type="dxa"/>
          </w:tcPr>
          <w:p>
            <w:pPr/>
            <w:r>
              <w:t xml:space="preserve">130,0</w:t>
            </w:r>
          </w:p>
        </w:tc>
        <w:tc>
          <w:tcPr>
            <w:tcW w:w="1621" w:type="dxa"/>
          </w:tcPr>
          <w:p>
            <w:pPr/>
            <w:r>
              <w:t xml:space="preserve">640</w:t>
            </w:r>
          </w:p>
        </w:tc>
        <w:tc>
          <w:tcPr>
            <w:tcW w:w="2232" w:type="dxa"/>
          </w:tcPr>
          <w:p>
            <w:pPr/>
            <w:r>
              <w:t xml:space="preserve">−510,0</w:t>
            </w:r>
          </w:p>
        </w:tc>
        <w:tc>
          <w:tcPr>
            <w:tcW w:w="2378" w:type="dxa"/>
          </w:tcPr>
          <w:p>
            <w:pPr/>
            <w:r>
              <w:t xml:space="preserve">1.730,0</w:t>
            </w:r>
          </w:p>
        </w:tc>
      </w:tr>
      <w:tr>
        <w:tc>
          <w:tcPr>
            <w:tcW w:w="1231" w:type="dxa"/>
          </w:tcPr>
          <w:p>
            <w:pPr/>
            <w:r>
              <w:t xml:space="preserve">3</w:t>
            </w:r>
          </w:p>
        </w:tc>
        <w:tc>
          <w:tcPr>
            <w:tcW w:w="1895" w:type="dxa"/>
          </w:tcPr>
          <w:p>
            <w:pPr/>
            <w:r>
              <w:t xml:space="preserve">520,0</w:t>
            </w:r>
          </w:p>
        </w:tc>
        <w:tc>
          <w:tcPr>
            <w:tcW w:w="1621" w:type="dxa"/>
          </w:tcPr>
          <w:p>
            <w:pPr/>
            <w:r>
              <w:t xml:space="preserve">960</w:t>
            </w:r>
          </w:p>
        </w:tc>
        <w:tc>
          <w:tcPr>
            <w:tcW w:w="2232" w:type="dxa"/>
          </w:tcPr>
          <w:p>
            <w:pPr/>
            <w:r>
              <w:t xml:space="preserve">−440,0</w:t>
            </w:r>
          </w:p>
        </w:tc>
        <w:tc>
          <w:tcPr>
            <w:tcW w:w="2378" w:type="dxa"/>
          </w:tcPr>
          <w:p>
            <w:pPr/>
            <w:r>
              <w:t xml:space="preserve">1.290,0</w:t>
            </w:r>
          </w:p>
        </w:tc>
      </w:tr>
      <w:tr>
        <w:tc>
          <w:tcPr>
            <w:tcW w:w="1231" w:type="dxa"/>
          </w:tcPr>
          <w:p>
            <w:pPr/>
            <w:r>
              <w:t xml:space="preserve">4</w:t>
            </w:r>
          </w:p>
        </w:tc>
        <w:tc>
          <w:tcPr>
            <w:tcW w:w="1895" w:type="dxa"/>
          </w:tcPr>
          <w:p>
            <w:pPr/>
            <w:r>
              <w:t xml:space="preserve">780,0</w:t>
            </w:r>
          </w:p>
        </w:tc>
        <w:tc>
          <w:tcPr>
            <w:tcW w:w="1621" w:type="dxa"/>
          </w:tcPr>
          <w:p>
            <w:pPr/>
            <w:r>
              <w:t xml:space="preserve">640</w:t>
            </w:r>
          </w:p>
        </w:tc>
        <w:tc>
          <w:tcPr>
            <w:tcW w:w="2232" w:type="dxa"/>
          </w:tcPr>
          <w:p>
            <w:pPr/>
            <w:r>
              <w:t xml:space="preserve">140,0</w:t>
            </w:r>
          </w:p>
        </w:tc>
        <w:tc>
          <w:tcPr>
            <w:tcW w:w="2378" w:type="dxa"/>
          </w:tcPr>
          <w:p>
            <w:pPr/>
            <w:r>
              <w:t xml:space="preserve">1.430,0</w:t>
            </w:r>
          </w:p>
        </w:tc>
      </w:tr>
      <w:tr>
        <w:tc>
          <w:tcPr>
            <w:tcW w:w="1231" w:type="dxa"/>
          </w:tcPr>
          <w:p>
            <w:pPr/>
            <w:r>
              <w:t xml:space="preserve">5</w:t>
            </w:r>
          </w:p>
        </w:tc>
        <w:tc>
          <w:tcPr>
            <w:tcW w:w="1895" w:type="dxa"/>
          </w:tcPr>
          <w:p>
            <w:pPr/>
            <w:r>
              <w:t xml:space="preserve">520,0</w:t>
            </w:r>
          </w:p>
        </w:tc>
        <w:tc>
          <w:tcPr>
            <w:tcW w:w="1621" w:type="dxa"/>
          </w:tcPr>
          <w:p>
            <w:pPr/>
            <w:r>
              <w:t xml:space="preserve">960</w:t>
            </w:r>
          </w:p>
        </w:tc>
        <w:tc>
          <w:tcPr>
            <w:tcW w:w="2232" w:type="dxa"/>
          </w:tcPr>
          <w:p>
            <w:pPr/>
            <w:r>
              <w:t xml:space="preserve">−440,0</w:t>
            </w:r>
          </w:p>
        </w:tc>
        <w:tc>
          <w:tcPr>
            <w:tcW w:w="2378" w:type="dxa"/>
          </w:tcPr>
          <w:p>
            <w:pPr/>
            <w:r>
              <w:t xml:space="preserve">990,0</w:t>
            </w:r>
          </w:p>
        </w:tc>
      </w:tr>
      <w:tr>
        <w:tc>
          <w:tcPr>
            <w:tcW w:w="1231" w:type="dxa"/>
          </w:tcPr>
          <w:p>
            <w:pPr/>
            <w:r>
              <w:t xml:space="preserve">6</w:t>
            </w:r>
          </w:p>
        </w:tc>
        <w:tc>
          <w:tcPr>
            <w:tcW w:w="1895" w:type="dxa"/>
          </w:tcPr>
          <w:p>
            <w:pPr/>
            <w:r>
              <w:t xml:space="preserve">780,0</w:t>
            </w:r>
          </w:p>
        </w:tc>
        <w:tc>
          <w:tcPr>
            <w:tcW w:w="1621" w:type="dxa"/>
          </w:tcPr>
          <w:p>
            <w:pPr/>
            <w:r>
              <w:t xml:space="preserve">1.360</w:t>
            </w:r>
          </w:p>
        </w:tc>
        <w:tc>
          <w:tcPr>
            <w:tcW w:w="2232" w:type="dxa"/>
          </w:tcPr>
          <w:p>
            <w:pPr/>
            <w:r>
              <w:t xml:space="preserve">−580,0</w:t>
            </w:r>
          </w:p>
        </w:tc>
        <w:tc>
          <w:tcPr>
            <w:tcW w:w="2378" w:type="dxa"/>
          </w:tcPr>
          <w:p>
            <w:pPr/>
            <w:r>
              <w:t xml:space="preserve">410,0</w:t>
            </w:r>
          </w:p>
        </w:tc>
      </w:tr>
      <w:tr>
        <w:tc>
          <w:tcPr>
            <w:tcW w:w="1231" w:type="dxa"/>
          </w:tcPr>
          <w:p>
            <w:pPr/>
            <w:r>
              <w:t xml:space="preserve">7</w:t>
            </w:r>
          </w:p>
        </w:tc>
        <w:tc>
          <w:tcPr>
            <w:tcW w:w="1895" w:type="dxa"/>
          </w:tcPr>
          <w:p>
            <w:pPr/>
            <w:r>
              <w:t xml:space="preserve">1.105,0</w:t>
            </w:r>
          </w:p>
        </w:tc>
        <w:tc>
          <w:tcPr>
            <w:tcW w:w="1621" w:type="dxa"/>
          </w:tcPr>
          <w:p>
            <w:pPr/>
            <w:r>
              <w:t xml:space="preserve">1.000</w:t>
            </w:r>
          </w:p>
        </w:tc>
        <w:tc>
          <w:tcPr>
            <w:tcW w:w="2232" w:type="dxa"/>
          </w:tcPr>
          <w:p>
            <w:pPr/>
            <w:r>
              <w:t xml:space="preserve">105,0</w:t>
            </w:r>
          </w:p>
        </w:tc>
        <w:tc>
          <w:tcPr>
            <w:tcW w:w="2378" w:type="dxa"/>
          </w:tcPr>
          <w:p>
            <w:pPr/>
            <w:r>
              <w:t xml:space="preserve">515,0</w:t>
            </w:r>
          </w:p>
        </w:tc>
      </w:tr>
      <w:tr>
        <w:tc>
          <w:tcPr>
            <w:tcW w:w="1231" w:type="dxa"/>
          </w:tcPr>
          <w:p>
            <w:pPr/>
            <w:r>
              <w:t xml:space="preserve">8</w:t>
            </w:r>
          </w:p>
        </w:tc>
        <w:tc>
          <w:tcPr>
            <w:tcW w:w="1895" w:type="dxa"/>
          </w:tcPr>
          <w:p>
            <w:pPr/>
            <w:r>
              <w:t xml:space="preserve">812,5</w:t>
            </w:r>
          </w:p>
        </w:tc>
        <w:tc>
          <w:tcPr>
            <w:tcW w:w="1621" w:type="dxa"/>
          </w:tcPr>
          <w:p>
            <w:pPr/>
            <w:r>
              <w:t xml:space="preserve">680</w:t>
            </w:r>
          </w:p>
        </w:tc>
        <w:tc>
          <w:tcPr>
            <w:tcW w:w="2232" w:type="dxa"/>
          </w:tcPr>
          <w:p>
            <w:pPr/>
            <w:r>
              <w:t xml:space="preserve">132,5</w:t>
            </w:r>
          </w:p>
        </w:tc>
        <w:tc>
          <w:tcPr>
            <w:tcW w:w="2378" w:type="dxa"/>
          </w:tcPr>
          <w:p>
            <w:pPr/>
            <w:r>
              <w:t xml:space="preserve">647,5</w:t>
            </w:r>
          </w:p>
        </w:tc>
      </w:tr>
      <w:tr>
        <w:tc>
          <w:tcPr>
            <w:tcW w:w="1231" w:type="dxa"/>
          </w:tcPr>
          <w:p>
            <w:pPr/>
            <w:r>
              <w:t xml:space="preserve">9</w:t>
            </w:r>
          </w:p>
        </w:tc>
        <w:tc>
          <w:tcPr>
            <w:tcW w:w="1895" w:type="dxa"/>
          </w:tcPr>
          <w:p>
            <w:pPr/>
            <w:r>
              <w:t xml:space="preserve">552,5</w:t>
            </w:r>
          </w:p>
        </w:tc>
        <w:tc>
          <w:tcPr>
            <w:tcW w:w="1621" w:type="dxa"/>
          </w:tcPr>
          <w:p>
            <w:pPr/>
            <w:r>
              <w:t xml:space="preserve">0</w:t>
            </w:r>
          </w:p>
        </w:tc>
        <w:tc>
          <w:tcPr>
            <w:tcW w:w="2232" w:type="dxa"/>
          </w:tcPr>
          <w:p>
            <w:pPr/>
            <w:r>
              <w:t xml:space="preserve">552,5</w:t>
            </w:r>
          </w:p>
        </w:tc>
        <w:tc>
          <w:tcPr>
            <w:tcW w:w="2378" w:type="dxa"/>
          </w:tcPr>
          <w:p>
            <w:pPr/>
            <w:r>
              <w:t xml:space="preserve">1.200,0</w:t>
            </w:r>
          </w:p>
        </w:tc>
      </w:tr>
      <w:tr>
        <w:tc>
          <w:tcPr>
            <w:tcW w:w="1231" w:type="dxa"/>
          </w:tcPr>
          <w:p>
            <w:pPr/>
            <w:r>
              <w:t xml:space="preserve">10</w:t>
            </w:r>
          </w:p>
        </w:tc>
        <w:tc>
          <w:tcPr>
            <w:tcW w:w="1895" w:type="dxa"/>
          </w:tcPr>
          <w:p>
            <w:pPr/>
            <w:r>
              <w:t xml:space="preserve">400,0</w:t>
            </w:r>
          </w:p>
        </w:tc>
        <w:tc>
          <w:tcPr>
            <w:tcW w:w="1621" w:type="dxa"/>
          </w:tcPr>
          <w:p>
            <w:pPr/>
            <w:r>
              <w:t xml:space="preserve">0</w:t>
            </w:r>
          </w:p>
        </w:tc>
        <w:tc>
          <w:tcPr>
            <w:tcW w:w="2232" w:type="dxa"/>
          </w:tcPr>
          <w:p>
            <w:pPr/>
            <w:r>
              <w:t xml:space="preserve">400,0</w:t>
            </w:r>
          </w:p>
        </w:tc>
        <w:tc>
          <w:tcPr>
            <w:tcW w:w="2378" w:type="dxa"/>
          </w:tcPr>
          <w:p>
            <w:pPr/>
            <w:r>
              <w:t xml:space="preserve">1.600,0</w:t>
            </w:r>
          </w:p>
        </w:tc>
      </w:tr>
    </w:tbl>
    <w:p>
      <w:pPr/>
      <w:r>
        <w:t xml:space="preserve">Sin anticipo: pago neto de cada acta = 95 % de su valor, recibido el mes siguiente.</w:t>
      </w:r>
    </w:p>
    <w:tbl>
      <w:tblPr>
        <w:tblStyle w:val="TableGrid"/>
        <w:tblW w:w="0" w:type="auto"/>
        <w:tblLayout w:type="fixed"/>
        <w:tblLook w:val="04A0" w:firstRow="1" w:lastRow="0" w:firstColumn="0" w:lastColumn="0" w:noHBand="0" w:noVBand="1"/>
      </w:tblPr>
      <w:tblGrid>
        <w:gridCol w:w="1231"/>
        <w:gridCol w:w="1895"/>
        <w:gridCol w:w="1621"/>
        <w:gridCol w:w="2232"/>
        <w:gridCol w:w="2378"/>
      </w:tblGrid>
      <w:tr>
        <w:trPr>
          <w:tblHeader/>
        </w:trPr>
        <w:tc>
          <w:tcPr>
            <w:tcW w:w="1231" w:type="dxa"/>
            <w:shd w:val="clear" w:color="auto" w:fill="F2F2F2"/>
          </w:tcPr>
          <w:p>
            <w:pPr/>
            <w:r>
              <w:t xml:space="preserve">Mes</w:t>
            </w:r>
          </w:p>
        </w:tc>
        <w:tc>
          <w:tcPr>
            <w:tcW w:w="1895" w:type="dxa"/>
            <w:shd w:val="clear" w:color="auto" w:fill="F2F2F2"/>
          </w:tcPr>
          <w:p>
            <w:pPr/>
            <w:r>
              <w:t xml:space="preserve">Ingresos</w:t>
            </w:r>
          </w:p>
        </w:tc>
        <w:tc>
          <w:tcPr>
            <w:tcW w:w="1621" w:type="dxa"/>
            <w:shd w:val="clear" w:color="auto" w:fill="F2F2F2"/>
          </w:tcPr>
          <w:p>
            <w:pPr/>
            <w:r>
              <w:t xml:space="preserve">Costos</w:t>
            </w:r>
          </w:p>
        </w:tc>
        <w:tc>
          <w:tcPr>
            <w:tcW w:w="2232" w:type="dxa"/>
            <w:shd w:val="clear" w:color="auto" w:fill="F2F2F2"/>
          </w:tcPr>
          <w:p>
            <w:pPr/>
            <w:r>
              <w:t xml:space="preserve">Flujo neto</w:t>
            </w:r>
          </w:p>
        </w:tc>
        <w:tc>
          <w:tcPr>
            <w:tcW w:w="2378" w:type="dxa"/>
            <w:shd w:val="clear" w:color="auto" w:fill="F2F2F2"/>
          </w:tcPr>
          <w:p>
            <w:pPr/>
            <w:r>
              <w:t xml:space="preserve">Acumulado</w:t>
            </w:r>
          </w:p>
        </w:tc>
      </w:tr>
      <w:tr>
        <w:tc>
          <w:tcPr>
            <w:tcW w:w="1231" w:type="dxa"/>
          </w:tcPr>
          <w:p>
            <w:pPr/>
            <w:r>
              <w:t xml:space="preserve">1</w:t>
            </w:r>
          </w:p>
        </w:tc>
        <w:tc>
          <w:tcPr>
            <w:tcW w:w="1895" w:type="dxa"/>
          </w:tcPr>
          <w:p>
            <w:pPr/>
            <w:r>
              <w:t xml:space="preserve">0</w:t>
            </w:r>
          </w:p>
        </w:tc>
        <w:tc>
          <w:tcPr>
            <w:tcW w:w="1621" w:type="dxa"/>
          </w:tcPr>
          <w:p>
            <w:pPr/>
            <w:r>
              <w:t xml:space="preserve">160</w:t>
            </w:r>
          </w:p>
        </w:tc>
        <w:tc>
          <w:tcPr>
            <w:tcW w:w="2232" w:type="dxa"/>
          </w:tcPr>
          <w:p>
            <w:pPr/>
            <w:r>
              <w:t xml:space="preserve">−160,0</w:t>
            </w:r>
          </w:p>
        </w:tc>
        <w:tc>
          <w:tcPr>
            <w:tcW w:w="2378" w:type="dxa"/>
          </w:tcPr>
          <w:p>
            <w:pPr/>
            <w:r>
              <w:t xml:space="preserve">−160,0</w:t>
            </w:r>
          </w:p>
        </w:tc>
      </w:tr>
      <w:tr>
        <w:tc>
          <w:tcPr>
            <w:tcW w:w="1231" w:type="dxa"/>
          </w:tcPr>
          <w:p>
            <w:pPr/>
            <w:r>
              <w:t xml:space="preserve">2</w:t>
            </w:r>
          </w:p>
        </w:tc>
        <w:tc>
          <w:tcPr>
            <w:tcW w:w="1895" w:type="dxa"/>
          </w:tcPr>
          <w:p>
            <w:pPr/>
            <w:r>
              <w:t xml:space="preserve">190,0</w:t>
            </w:r>
          </w:p>
        </w:tc>
        <w:tc>
          <w:tcPr>
            <w:tcW w:w="1621" w:type="dxa"/>
          </w:tcPr>
          <w:p>
            <w:pPr/>
            <w:r>
              <w:t xml:space="preserve">640</w:t>
            </w:r>
          </w:p>
        </w:tc>
        <w:tc>
          <w:tcPr>
            <w:tcW w:w="2232" w:type="dxa"/>
          </w:tcPr>
          <w:p>
            <w:pPr/>
            <w:r>
              <w:t xml:space="preserve">−450,0</w:t>
            </w:r>
          </w:p>
        </w:tc>
        <w:tc>
          <w:tcPr>
            <w:tcW w:w="2378" w:type="dxa"/>
          </w:tcPr>
          <w:p>
            <w:pPr/>
            <w:r>
              <w:t xml:space="preserve">−610,0</w:t>
            </w:r>
          </w:p>
        </w:tc>
      </w:tr>
      <w:tr>
        <w:tc>
          <w:tcPr>
            <w:tcW w:w="1231" w:type="dxa"/>
          </w:tcPr>
          <w:p>
            <w:pPr/>
            <w:r>
              <w:t xml:space="preserve">3</w:t>
            </w:r>
          </w:p>
        </w:tc>
        <w:tc>
          <w:tcPr>
            <w:tcW w:w="1895" w:type="dxa"/>
          </w:tcPr>
          <w:p>
            <w:pPr/>
            <w:r>
              <w:t xml:space="preserve">760,0</w:t>
            </w:r>
          </w:p>
        </w:tc>
        <w:tc>
          <w:tcPr>
            <w:tcW w:w="1621" w:type="dxa"/>
          </w:tcPr>
          <w:p>
            <w:pPr/>
            <w:r>
              <w:t xml:space="preserve">960</w:t>
            </w:r>
          </w:p>
        </w:tc>
        <w:tc>
          <w:tcPr>
            <w:tcW w:w="2232" w:type="dxa"/>
          </w:tcPr>
          <w:p>
            <w:pPr/>
            <w:r>
              <w:t xml:space="preserve">−200,0</w:t>
            </w:r>
          </w:p>
        </w:tc>
        <w:tc>
          <w:tcPr>
            <w:tcW w:w="2378" w:type="dxa"/>
          </w:tcPr>
          <w:p>
            <w:pPr/>
            <w:r>
              <w:t xml:space="preserve">−810,0</w:t>
            </w:r>
          </w:p>
        </w:tc>
      </w:tr>
      <w:tr>
        <w:tc>
          <w:tcPr>
            <w:tcW w:w="1231" w:type="dxa"/>
          </w:tcPr>
          <w:p>
            <w:pPr/>
            <w:r>
              <w:t xml:space="preserve">4</w:t>
            </w:r>
          </w:p>
        </w:tc>
        <w:tc>
          <w:tcPr>
            <w:tcW w:w="1895" w:type="dxa"/>
          </w:tcPr>
          <w:p>
            <w:pPr/>
            <w:r>
              <w:t xml:space="preserve">1.140,0</w:t>
            </w:r>
          </w:p>
        </w:tc>
        <w:tc>
          <w:tcPr>
            <w:tcW w:w="1621" w:type="dxa"/>
          </w:tcPr>
          <w:p>
            <w:pPr/>
            <w:r>
              <w:t xml:space="preserve">640</w:t>
            </w:r>
          </w:p>
        </w:tc>
        <w:tc>
          <w:tcPr>
            <w:tcW w:w="2232" w:type="dxa"/>
          </w:tcPr>
          <w:p>
            <w:pPr/>
            <w:r>
              <w:t xml:space="preserve">500,0</w:t>
            </w:r>
          </w:p>
        </w:tc>
        <w:tc>
          <w:tcPr>
            <w:tcW w:w="2378" w:type="dxa"/>
          </w:tcPr>
          <w:p>
            <w:pPr/>
            <w:r>
              <w:t xml:space="preserve">−310,0</w:t>
            </w:r>
          </w:p>
        </w:tc>
      </w:tr>
      <w:tr>
        <w:tc>
          <w:tcPr>
            <w:tcW w:w="1231" w:type="dxa"/>
          </w:tcPr>
          <w:p>
            <w:pPr/>
            <w:r>
              <w:t xml:space="preserve">5</w:t>
            </w:r>
          </w:p>
        </w:tc>
        <w:tc>
          <w:tcPr>
            <w:tcW w:w="1895" w:type="dxa"/>
          </w:tcPr>
          <w:p>
            <w:pPr/>
            <w:r>
              <w:t xml:space="preserve">760,0</w:t>
            </w:r>
          </w:p>
        </w:tc>
        <w:tc>
          <w:tcPr>
            <w:tcW w:w="1621" w:type="dxa"/>
          </w:tcPr>
          <w:p>
            <w:pPr/>
            <w:r>
              <w:t xml:space="preserve">960</w:t>
            </w:r>
          </w:p>
        </w:tc>
        <w:tc>
          <w:tcPr>
            <w:tcW w:w="2232" w:type="dxa"/>
          </w:tcPr>
          <w:p>
            <w:pPr/>
            <w:r>
              <w:t xml:space="preserve">−200,0</w:t>
            </w:r>
          </w:p>
        </w:tc>
        <w:tc>
          <w:tcPr>
            <w:tcW w:w="2378" w:type="dxa"/>
          </w:tcPr>
          <w:p>
            <w:pPr/>
            <w:r>
              <w:t xml:space="preserve">−510,0</w:t>
            </w:r>
          </w:p>
        </w:tc>
      </w:tr>
      <w:tr>
        <w:tc>
          <w:tcPr>
            <w:tcW w:w="1231" w:type="dxa"/>
          </w:tcPr>
          <w:p>
            <w:pPr/>
            <w:r>
              <w:t xml:space="preserve">6</w:t>
            </w:r>
          </w:p>
        </w:tc>
        <w:tc>
          <w:tcPr>
            <w:tcW w:w="1895" w:type="dxa"/>
          </w:tcPr>
          <w:p>
            <w:pPr/>
            <w:r>
              <w:t xml:space="preserve">1.140,0</w:t>
            </w:r>
          </w:p>
        </w:tc>
        <w:tc>
          <w:tcPr>
            <w:tcW w:w="1621" w:type="dxa"/>
          </w:tcPr>
          <w:p>
            <w:pPr/>
            <w:r>
              <w:t xml:space="preserve">1.360</w:t>
            </w:r>
          </w:p>
        </w:tc>
        <w:tc>
          <w:tcPr>
            <w:tcW w:w="2232" w:type="dxa"/>
          </w:tcPr>
          <w:p>
            <w:pPr/>
            <w:r>
              <w:t xml:space="preserve">−220,0</w:t>
            </w:r>
          </w:p>
        </w:tc>
        <w:tc>
          <w:tcPr>
            <w:tcW w:w="2378" w:type="dxa"/>
          </w:tcPr>
          <w:p>
            <w:pPr/>
            <w:r>
              <w:t xml:space="preserve">−730,0</w:t>
            </w:r>
          </w:p>
        </w:tc>
      </w:tr>
      <w:tr>
        <w:tc>
          <w:tcPr>
            <w:tcW w:w="1231" w:type="dxa"/>
          </w:tcPr>
          <w:p>
            <w:pPr/>
            <w:r>
              <w:t xml:space="preserve">7</w:t>
            </w:r>
          </w:p>
        </w:tc>
        <w:tc>
          <w:tcPr>
            <w:tcW w:w="1895" w:type="dxa"/>
          </w:tcPr>
          <w:p>
            <w:pPr/>
            <w:r>
              <w:t xml:space="preserve">1.615,0</w:t>
            </w:r>
          </w:p>
        </w:tc>
        <w:tc>
          <w:tcPr>
            <w:tcW w:w="1621" w:type="dxa"/>
          </w:tcPr>
          <w:p>
            <w:pPr/>
            <w:r>
              <w:t xml:space="preserve">1.000</w:t>
            </w:r>
          </w:p>
        </w:tc>
        <w:tc>
          <w:tcPr>
            <w:tcW w:w="2232" w:type="dxa"/>
          </w:tcPr>
          <w:p>
            <w:pPr/>
            <w:r>
              <w:t xml:space="preserve">615,0</w:t>
            </w:r>
          </w:p>
        </w:tc>
        <w:tc>
          <w:tcPr>
            <w:tcW w:w="2378" w:type="dxa"/>
          </w:tcPr>
          <w:p>
            <w:pPr/>
            <w:r>
              <w:t xml:space="preserve">−115,0</w:t>
            </w:r>
          </w:p>
        </w:tc>
      </w:tr>
      <w:tr>
        <w:tc>
          <w:tcPr>
            <w:tcW w:w="1231" w:type="dxa"/>
          </w:tcPr>
          <w:p>
            <w:pPr/>
            <w:r>
              <w:t xml:space="preserve">8</w:t>
            </w:r>
          </w:p>
        </w:tc>
        <w:tc>
          <w:tcPr>
            <w:tcW w:w="1895" w:type="dxa"/>
          </w:tcPr>
          <w:p>
            <w:pPr/>
            <w:r>
              <w:t xml:space="preserve">1.187,5</w:t>
            </w:r>
          </w:p>
        </w:tc>
        <w:tc>
          <w:tcPr>
            <w:tcW w:w="1621" w:type="dxa"/>
          </w:tcPr>
          <w:p>
            <w:pPr/>
            <w:r>
              <w:t xml:space="preserve">680</w:t>
            </w:r>
          </w:p>
        </w:tc>
        <w:tc>
          <w:tcPr>
            <w:tcW w:w="2232" w:type="dxa"/>
          </w:tcPr>
          <w:p>
            <w:pPr/>
            <w:r>
              <w:t xml:space="preserve">507,5</w:t>
            </w:r>
          </w:p>
        </w:tc>
        <w:tc>
          <w:tcPr>
            <w:tcW w:w="2378" w:type="dxa"/>
          </w:tcPr>
          <w:p>
            <w:pPr/>
            <w:r>
              <w:t xml:space="preserve">392,5</w:t>
            </w:r>
          </w:p>
        </w:tc>
      </w:tr>
      <w:tr>
        <w:tc>
          <w:tcPr>
            <w:tcW w:w="1231" w:type="dxa"/>
          </w:tcPr>
          <w:p>
            <w:pPr/>
            <w:r>
              <w:t xml:space="preserve">9</w:t>
            </w:r>
          </w:p>
        </w:tc>
        <w:tc>
          <w:tcPr>
            <w:tcW w:w="1895" w:type="dxa"/>
          </w:tcPr>
          <w:p>
            <w:pPr/>
            <w:r>
              <w:t xml:space="preserve">807,5</w:t>
            </w:r>
          </w:p>
        </w:tc>
        <w:tc>
          <w:tcPr>
            <w:tcW w:w="1621" w:type="dxa"/>
          </w:tcPr>
          <w:p>
            <w:pPr/>
            <w:r>
              <w:t xml:space="preserve">0</w:t>
            </w:r>
          </w:p>
        </w:tc>
        <w:tc>
          <w:tcPr>
            <w:tcW w:w="2232" w:type="dxa"/>
          </w:tcPr>
          <w:p>
            <w:pPr/>
            <w:r>
              <w:t xml:space="preserve">807,5</w:t>
            </w:r>
          </w:p>
        </w:tc>
        <w:tc>
          <w:tcPr>
            <w:tcW w:w="2378" w:type="dxa"/>
          </w:tcPr>
          <w:p>
            <w:pPr/>
            <w:r>
              <w:t xml:space="preserve">1.200,0</w:t>
            </w:r>
          </w:p>
        </w:tc>
      </w:tr>
      <w:tr>
        <w:tc>
          <w:tcPr>
            <w:tcW w:w="1231" w:type="dxa"/>
          </w:tcPr>
          <w:p>
            <w:pPr/>
            <w:r>
              <w:t xml:space="preserve">10</w:t>
            </w:r>
          </w:p>
        </w:tc>
        <w:tc>
          <w:tcPr>
            <w:tcW w:w="1895" w:type="dxa"/>
          </w:tcPr>
          <w:p>
            <w:pPr/>
            <w:r>
              <w:t xml:space="preserve">400,0</w:t>
            </w:r>
          </w:p>
        </w:tc>
        <w:tc>
          <w:tcPr>
            <w:tcW w:w="1621" w:type="dxa"/>
          </w:tcPr>
          <w:p>
            <w:pPr/>
            <w:r>
              <w:t xml:space="preserve">0</w:t>
            </w:r>
          </w:p>
        </w:tc>
        <w:tc>
          <w:tcPr>
            <w:tcW w:w="2232" w:type="dxa"/>
          </w:tcPr>
          <w:p>
            <w:pPr/>
            <w:r>
              <w:t xml:space="preserve">400,0</w:t>
            </w:r>
          </w:p>
        </w:tc>
        <w:tc>
          <w:tcPr>
            <w:tcW w:w="2378" w:type="dxa"/>
          </w:tcPr>
          <w:p>
            <w:pPr/>
            <w:r>
              <w:t xml:space="preserve">1.600,0</w:t>
            </w:r>
          </w:p>
        </w:tc>
      </w:tr>
    </w:tbl>
    <w:p>
      <w:pPr>
        <w:pStyle w:val="ListParagraph"/>
        <w:numPr>
          <w:ilvl w:val="0"/>
          <w:numId w:val="53"/>
        </w:numPr>
      </w:pPr>
      <w:r>
        <w:t xml:space="preserve">Con anticipo, el acumulado nunca es negativo: el mínimo es $410 millones en el mes 6. El contratista no necesita capital propio.</w:t>
      </w:r>
    </w:p>
    <w:p>
      <w:pPr>
        <w:pStyle w:val="ListParagraph"/>
        <w:numPr>
          <w:ilvl w:val="0"/>
          <w:numId w:val="53"/>
        </w:numPr>
      </w:pPr>
      <w:r>
        <w:t xml:space="preserve">Sin anticipo, la máxima necesidad de capital de trabajo es $810 millones en el mes 3.</w:t>
      </w:r>
    </w:p>
    <w:p>
      <w:pPr>
        <w:pStyle w:val="ListParagraph"/>
        <w:numPr>
          <w:ilvl w:val="0"/>
          <w:numId w:val="53"/>
        </w:numPr>
      </w:pPr>
      <w:r>
        <w:t xml:space="preserve">En ambos escenarios el resultado final es $1.600 millones (8.000 − 6.400). El anticipo cambia el momento de la caja, no la utilidad.</w:t>
      </w:r>
    </w:p>
    <w:p>
      <w:pPr>
        <w:pStyle w:val="ListParagraph"/>
        <w:numPr>
          <w:ilvl w:val="0"/>
          <w:numId w:val="53"/>
        </w:numPr>
      </w:pPr>
      <w:r>
        <w:t xml:space="preserve">Control: el interventor verifica las sumas de los pagos (7.600 en actas y anticipo, más 400 de retención = 8.000) y que la amortización total sea igual al anticipo (30 % × 8.000 = 2.400).</w:t>
      </w:r>
    </w:p>
    <w:p>
      <w:pPr/>
      <w:r>
        <w:t xml:space="preserve">Puntaje: 3 por el flujo con anticipo, 1 por el flujo sin anticipo, 1 por la comparación e interpretación.</w:t>
      </w:r>
    </w:p>
    <w:p>
      <w:pPr/>
      <w:r>
        <w:rPr>
          <w:b/>
        </w:rPr>
        <w:t xml:space="preserve">5. Amortización al mes 5</w:t>
      </w:r>
      <w:r>
        <w:t xml:space="preserve"> (sobre actas aprobadas hasta el mes 5)</w:t>
      </w:r>
    </w:p>
    <w:p>
      <w:pPr>
        <w:pStyle w:val="ListParagraph"/>
        <w:numPr>
          <w:ilvl w:val="0"/>
          <w:numId w:val="54"/>
        </w:numPr>
      </w:pPr>
      <w:r>
        <w:t xml:space="preserve">Amortizado según lo ejecutado: 30 % × 3.400 = $1.020 millones. Falta por amortizar: $1.380 millones.</w:t>
      </w:r>
    </w:p>
    <w:p>
      <w:pPr>
        <w:pStyle w:val="ListParagraph"/>
        <w:numPr>
          <w:ilvl w:val="0"/>
          <w:numId w:val="54"/>
        </w:numPr>
      </w:pPr>
      <w:r>
        <w:t xml:space="preserve">Amortizado según el programa: 30 % × 4.200 = $1.260 millones. Faltaría: $1.140 millones.</w:t>
      </w:r>
    </w:p>
    <w:p>
      <w:pPr>
        <w:pStyle w:val="ListParagraph"/>
        <w:numPr>
          <w:ilvl w:val="0"/>
          <w:numId w:val="54"/>
        </w:numPr>
      </w:pPr>
      <w:r>
        <w:t xml:space="preserve">Hay $240 millones más de anticipo sin amortizar que lo previsto. Si el contratista incumple, aumenta la exposición de la entidad y la posible reclamación a la aseguradora.</w:t>
      </w:r>
    </w:p>
    <w:p>
      <w:pPr>
        <w:pStyle w:val="ListParagraph"/>
        <w:numPr>
          <w:ilvl w:val="0"/>
          <w:numId w:val="54"/>
        </w:numPr>
      </w:pPr>
      <w:r>
        <w:t xml:space="preserve">El interventor controla el plan de inversión del anticipo, autoriza los giros de la fiducia solo para conceptos de ese plan, revisa los extractos mensuales, verifica que los bienes comprados estén en obra y que los rendimientos se reintegren a la entidad.</w:t>
      </w:r>
    </w:p>
    <w:p>
      <w:pPr/>
      <w:r>
        <w:t xml:space="preserve">Si el estudiante calcula la amortización sobre actas ya pagadas (meses 1 a 4: 30 % × 2.500 = $750 millones), la respuesta es válida si explica el criterio.</w:t>
      </w:r>
    </w:p>
    <w:p>
      <w:pPr>
        <w:pStyle w:val="Heading3"/>
      </w:pPr>
      <w:r>
        <w:t xml:space="preserve">Clave del caso integrador 3. Vía terciaria</w:t>
      </w:r>
    </w:p>
    <w:p>
      <w:pPr/>
      <w:r>
        <w:t xml:space="preserve">La obra termina el 30 de abril de 2027 y quedan $1.350 millones comprometidos en 2026 sin ejecutar, que deben pasar a 2027 como reserva presupuestal.</w:t>
      </w:r>
    </w:p>
    <w:p>
      <w:pPr/>
      <w:r>
        <w:rPr>
          <w:b/>
        </w:rPr>
        <w:t xml:space="preserve">1. Curvas S</w:t>
      </w:r>
      <w:r>
        <w:t xml:space="preserve"> (porcentaje acumulado sobre $3.000 millones)</w:t>
      </w:r>
    </w:p>
    <w:tbl>
      <w:tblPr>
        <w:tblStyle w:val="TableGrid"/>
        <w:tblW w:w="0" w:type="auto"/>
        <w:tblLayout w:type="fixed"/>
        <w:tblLook w:val="04A0" w:firstRow="1" w:lastRow="0" w:firstColumn="0" w:lastColumn="0" w:noHBand="0" w:noVBand="1"/>
      </w:tblPr>
      <w:tblGrid>
        <w:gridCol w:w="1784"/>
        <w:gridCol w:w="951"/>
        <w:gridCol w:w="909"/>
        <w:gridCol w:w="951"/>
        <w:gridCol w:w="909"/>
        <w:gridCol w:w="951"/>
        <w:gridCol w:w="951"/>
        <w:gridCol w:w="999"/>
        <w:gridCol w:w="951"/>
      </w:tblGrid>
      <w:tr>
        <w:trPr>
          <w:tblHeader/>
        </w:trPr>
        <w:tc>
          <w:tcPr>
            <w:tcW w:w="1784" w:type="dxa"/>
            <w:shd w:val="clear" w:color="auto" w:fill="F2F2F2"/>
          </w:tcPr>
          <w:p>
            <w:pPr/>
            <w:r>
              <w:t xml:space="preserve">Mes</w:t>
            </w:r>
          </w:p>
        </w:tc>
        <w:tc>
          <w:tcPr>
            <w:tcW w:w="951" w:type="dxa"/>
            <w:shd w:val="clear" w:color="auto" w:fill="F2F2F2"/>
          </w:tcPr>
          <w:p>
            <w:pPr/>
            <w:r>
              <w:t xml:space="preserve">sep-26</w:t>
            </w:r>
          </w:p>
        </w:tc>
        <w:tc>
          <w:tcPr>
            <w:tcW w:w="909" w:type="dxa"/>
            <w:shd w:val="clear" w:color="auto" w:fill="F2F2F2"/>
          </w:tcPr>
          <w:p>
            <w:pPr/>
            <w:r>
              <w:t xml:space="preserve">oct-26</w:t>
            </w:r>
          </w:p>
        </w:tc>
        <w:tc>
          <w:tcPr>
            <w:tcW w:w="951" w:type="dxa"/>
            <w:shd w:val="clear" w:color="auto" w:fill="F2F2F2"/>
          </w:tcPr>
          <w:p>
            <w:pPr/>
            <w:r>
              <w:t xml:space="preserve">nov-26</w:t>
            </w:r>
          </w:p>
        </w:tc>
        <w:tc>
          <w:tcPr>
            <w:tcW w:w="909" w:type="dxa"/>
            <w:shd w:val="clear" w:color="auto" w:fill="F2F2F2"/>
          </w:tcPr>
          <w:p>
            <w:pPr/>
            <w:r>
              <w:t xml:space="preserve">dic-26</w:t>
            </w:r>
          </w:p>
        </w:tc>
        <w:tc>
          <w:tcPr>
            <w:tcW w:w="951" w:type="dxa"/>
            <w:shd w:val="clear" w:color="auto" w:fill="F2F2F2"/>
          </w:tcPr>
          <w:p>
            <w:pPr/>
            <w:r>
              <w:t xml:space="preserve">ene-27</w:t>
            </w:r>
          </w:p>
        </w:tc>
        <w:tc>
          <w:tcPr>
            <w:tcW w:w="951" w:type="dxa"/>
            <w:shd w:val="clear" w:color="auto" w:fill="F2F2F2"/>
          </w:tcPr>
          <w:p>
            <w:pPr/>
            <w:r>
              <w:t xml:space="preserve">feb-27</w:t>
            </w:r>
          </w:p>
        </w:tc>
        <w:tc>
          <w:tcPr>
            <w:tcW w:w="999" w:type="dxa"/>
            <w:shd w:val="clear" w:color="auto" w:fill="F2F2F2"/>
          </w:tcPr>
          <w:p>
            <w:pPr/>
            <w:r>
              <w:t xml:space="preserve">mar-27</w:t>
            </w:r>
          </w:p>
        </w:tc>
        <w:tc>
          <w:tcPr>
            <w:tcW w:w="951" w:type="dxa"/>
            <w:shd w:val="clear" w:color="auto" w:fill="F2F2F2"/>
          </w:tcPr>
          <w:p>
            <w:pPr/>
            <w:r>
              <w:t xml:space="preserve">abr-27</w:t>
            </w:r>
          </w:p>
        </w:tc>
      </w:tr>
      <w:tr>
        <w:tc>
          <w:tcPr>
            <w:tcW w:w="1784" w:type="dxa"/>
          </w:tcPr>
          <w:p>
            <w:pPr/>
            <w:r>
              <w:t xml:space="preserve">Original</w:t>
            </w:r>
          </w:p>
        </w:tc>
        <w:tc>
          <w:tcPr>
            <w:tcW w:w="951" w:type="dxa"/>
          </w:tcPr>
          <w:p>
            <w:pPr/>
            <w:r>
              <w:t xml:space="preserve">10,00</w:t>
            </w:r>
          </w:p>
        </w:tc>
        <w:tc>
          <w:tcPr>
            <w:tcW w:w="909" w:type="dxa"/>
          </w:tcPr>
          <w:p>
            <w:pPr/>
            <w:r>
              <w:t xml:space="preserve">25,00</w:t>
            </w:r>
          </w:p>
        </w:tc>
        <w:tc>
          <w:tcPr>
            <w:tcW w:w="951" w:type="dxa"/>
          </w:tcPr>
          <w:p>
            <w:pPr/>
            <w:r>
              <w:t xml:space="preserve">45,00</w:t>
            </w:r>
          </w:p>
        </w:tc>
        <w:tc>
          <w:tcPr>
            <w:tcW w:w="909" w:type="dxa"/>
          </w:tcPr>
          <w:p>
            <w:pPr/>
            <w:r>
              <w:t xml:space="preserve">65,00</w:t>
            </w:r>
          </w:p>
        </w:tc>
        <w:tc>
          <w:tcPr>
            <w:tcW w:w="951" w:type="dxa"/>
          </w:tcPr>
          <w:p>
            <w:pPr/>
            <w:r>
              <w:t xml:space="preserve">85,00</w:t>
            </w:r>
          </w:p>
        </w:tc>
        <w:tc>
          <w:tcPr>
            <w:tcW w:w="951" w:type="dxa"/>
          </w:tcPr>
          <w:p>
            <w:pPr/>
            <w:r>
              <w:t xml:space="preserve">100,00</w:t>
            </w:r>
          </w:p>
        </w:tc>
        <w:tc>
          <w:tcPr>
            <w:tcW w:w="999" w:type="dxa"/>
          </w:tcPr>
          <w:p>
            <w:pPr/>
          </w:p>
        </w:tc>
        <w:tc>
          <w:tcPr>
            <w:tcW w:w="951" w:type="dxa"/>
          </w:tcPr>
          <w:p>
            <w:pPr/>
          </w:p>
        </w:tc>
      </w:tr>
      <w:tr>
        <w:tc>
          <w:tcPr>
            <w:tcW w:w="1784" w:type="dxa"/>
          </w:tcPr>
          <w:p>
            <w:pPr/>
            <w:r>
              <w:t xml:space="preserve">Ejecutada</w:t>
            </w:r>
          </w:p>
        </w:tc>
        <w:tc>
          <w:tcPr>
            <w:tcW w:w="951" w:type="dxa"/>
          </w:tcPr>
          <w:p>
            <w:pPr/>
            <w:r>
              <w:t xml:space="preserve">8,33</w:t>
            </w:r>
          </w:p>
        </w:tc>
        <w:tc>
          <w:tcPr>
            <w:tcW w:w="909" w:type="dxa"/>
          </w:tcPr>
          <w:p>
            <w:pPr/>
            <w:r>
              <w:t xml:space="preserve">20,00</w:t>
            </w:r>
          </w:p>
        </w:tc>
        <w:tc>
          <w:tcPr>
            <w:tcW w:w="951" w:type="dxa"/>
          </w:tcPr>
          <w:p>
            <w:pPr/>
          </w:p>
        </w:tc>
        <w:tc>
          <w:tcPr>
            <w:tcW w:w="909" w:type="dxa"/>
          </w:tcPr>
          <w:p>
            <w:pPr/>
          </w:p>
        </w:tc>
        <w:tc>
          <w:tcPr>
            <w:tcW w:w="951" w:type="dxa"/>
          </w:tcPr>
          <w:p>
            <w:pPr/>
          </w:p>
        </w:tc>
        <w:tc>
          <w:tcPr>
            <w:tcW w:w="951" w:type="dxa"/>
          </w:tcPr>
          <w:p>
            <w:pPr/>
          </w:p>
        </w:tc>
        <w:tc>
          <w:tcPr>
            <w:tcW w:w="999" w:type="dxa"/>
          </w:tcPr>
          <w:p>
            <w:pPr/>
          </w:p>
        </w:tc>
        <w:tc>
          <w:tcPr>
            <w:tcW w:w="951" w:type="dxa"/>
          </w:tcPr>
          <w:p>
            <w:pPr/>
          </w:p>
        </w:tc>
      </w:tr>
      <w:tr>
        <w:tc>
          <w:tcPr>
            <w:tcW w:w="1784" w:type="dxa"/>
          </w:tcPr>
          <w:p>
            <w:pPr/>
            <w:r>
              <w:t xml:space="preserve">Reprogramada</w:t>
            </w:r>
          </w:p>
        </w:tc>
        <w:tc>
          <w:tcPr>
            <w:tcW w:w="951" w:type="dxa"/>
          </w:tcPr>
          <w:p>
            <w:pPr/>
            <w:r>
              <w:t xml:space="preserve">8,33</w:t>
            </w:r>
          </w:p>
        </w:tc>
        <w:tc>
          <w:tcPr>
            <w:tcW w:w="909" w:type="dxa"/>
          </w:tcPr>
          <w:p>
            <w:pPr/>
            <w:r>
              <w:t xml:space="preserve">20,00</w:t>
            </w:r>
          </w:p>
        </w:tc>
        <w:tc>
          <w:tcPr>
            <w:tcW w:w="951" w:type="dxa"/>
          </w:tcPr>
          <w:p>
            <w:pPr/>
            <w:r>
              <w:t xml:space="preserve">20,00</w:t>
            </w:r>
          </w:p>
        </w:tc>
        <w:tc>
          <w:tcPr>
            <w:tcW w:w="909" w:type="dxa"/>
          </w:tcPr>
          <w:p>
            <w:pPr/>
            <w:r>
              <w:t xml:space="preserve">20,00</w:t>
            </w:r>
          </w:p>
        </w:tc>
        <w:tc>
          <w:tcPr>
            <w:tcW w:w="951" w:type="dxa"/>
          </w:tcPr>
          <w:p>
            <w:pPr/>
            <w:r>
              <w:t xml:space="preserve">40,00</w:t>
            </w:r>
          </w:p>
        </w:tc>
        <w:tc>
          <w:tcPr>
            <w:tcW w:w="951" w:type="dxa"/>
          </w:tcPr>
          <w:p>
            <w:pPr/>
            <w:r>
              <w:t xml:space="preserve">61,67</w:t>
            </w:r>
          </w:p>
        </w:tc>
        <w:tc>
          <w:tcPr>
            <w:tcW w:w="999" w:type="dxa"/>
          </w:tcPr>
          <w:p>
            <w:pPr/>
            <w:r>
              <w:t xml:space="preserve">83,33</w:t>
            </w:r>
          </w:p>
        </w:tc>
        <w:tc>
          <w:tcPr>
            <w:tcW w:w="951" w:type="dxa"/>
          </w:tcPr>
          <w:p>
            <w:pPr/>
            <w:r>
              <w:t xml:space="preserve">100,00</w:t>
            </w:r>
          </w:p>
        </w:tc>
      </w:tr>
    </w:tbl>
    <w:p>
      <w:pPr>
        <w:pStyle w:val="ListParagraph"/>
        <w:numPr>
          <w:ilvl w:val="0"/>
          <w:numId w:val="55"/>
        </w:numPr>
      </w:pPr>
      <w:r>
        <w:t xml:space="preserve">Desviación en octubre: 25,00 − 20,00 = 5,00 puntos porcentuales; SPI = 600 / 750 = 0,80.</w:t>
      </w:r>
    </w:p>
    <w:p>
      <w:pPr>
        <w:pStyle w:val="ListParagraph"/>
        <w:numPr>
          <w:ilvl w:val="0"/>
          <w:numId w:val="55"/>
        </w:numPr>
      </w:pPr>
      <w:r>
        <w:t xml:space="preserve">La curva reprogramada queda plana durante la suspensión (noviembre y diciembre).</w:t>
      </w:r>
    </w:p>
    <w:p>
      <w:pPr>
        <w:pStyle w:val="ListParagraph"/>
        <w:numPr>
          <w:ilvl w:val="0"/>
          <w:numId w:val="55"/>
        </w:numPr>
      </w:pPr>
      <w:r>
        <w:t xml:space="preserve">Nueva fecha de terminación: 28 de febrero de 2027 más 2 meses suspendidos = 30 de abril de 2027.</w:t>
      </w:r>
    </w:p>
    <w:p>
      <w:pPr>
        <w:pStyle w:val="ListParagraph"/>
        <w:numPr>
          <w:ilvl w:val="0"/>
          <w:numId w:val="55"/>
        </w:numPr>
      </w:pPr>
      <w:r>
        <w:t xml:space="preserve">Puntaje: 2 por las tres curvas bien dibujadas, 1 por la desviación, 1 por la nueva fecha.</w:t>
      </w:r>
    </w:p>
    <w:p>
      <w:pPr/>
      <w:r>
        <w:rPr>
          <w:b/>
        </w:rPr>
        <w:t xml:space="preserve">2. Pagos por vigencia ($ millones)</w:t>
      </w:r>
    </w:p>
    <w:tbl>
      <w:tblPr>
        <w:tblStyle w:val="TableGrid"/>
        <w:tblW w:w="0" w:type="auto"/>
        <w:tblLayout w:type="fixed"/>
        <w:tblLook w:val="04A0" w:firstRow="1" w:lastRow="0" w:firstColumn="0" w:lastColumn="0" w:noHBand="0" w:noVBand="1"/>
      </w:tblPr>
      <w:tblGrid>
        <w:gridCol w:w="2806"/>
        <w:gridCol w:w="2520"/>
        <w:gridCol w:w="3242"/>
        <w:gridCol w:w="791"/>
      </w:tblGrid>
      <w:tr>
        <w:trPr>
          <w:tblHeader/>
        </w:trPr>
        <w:tc>
          <w:tcPr>
            <w:tcW w:w="2806" w:type="dxa"/>
            <w:shd w:val="clear" w:color="auto" w:fill="F2F2F2"/>
          </w:tcPr>
          <w:p>
            <w:pPr/>
            <w:r>
              <w:t xml:space="preserve">Escenario</w:t>
            </w:r>
          </w:p>
        </w:tc>
        <w:tc>
          <w:tcPr>
            <w:tcW w:w="2520" w:type="dxa"/>
            <w:shd w:val="clear" w:color="auto" w:fill="F2F2F2"/>
          </w:tcPr>
          <w:p>
            <w:pPr/>
            <w:r>
              <w:t xml:space="preserve">Pagos en 2026</w:t>
            </w:r>
          </w:p>
        </w:tc>
        <w:tc>
          <w:tcPr>
            <w:tcW w:w="3242" w:type="dxa"/>
            <w:shd w:val="clear" w:color="auto" w:fill="F2F2F2"/>
          </w:tcPr>
          <w:p>
            <w:pPr/>
            <w:r>
              <w:t xml:space="preserve">Pagos en 2027</w:t>
            </w:r>
          </w:p>
        </w:tc>
        <w:tc>
          <w:tcPr>
            <w:tcW w:w="791" w:type="dxa"/>
            <w:shd w:val="clear" w:color="auto" w:fill="F2F2F2"/>
          </w:tcPr>
          <w:p>
            <w:pPr/>
            <w:r>
              <w:t xml:space="preserve">Total</w:t>
            </w:r>
          </w:p>
        </w:tc>
      </w:tr>
      <w:tr>
        <w:tc>
          <w:tcPr>
            <w:tcW w:w="2806" w:type="dxa"/>
          </w:tcPr>
          <w:p>
            <w:pPr/>
            <w:r>
              <w:t xml:space="preserve">Programa original (actas pagadas el mes siguiente)</w:t>
            </w:r>
          </w:p>
        </w:tc>
        <w:tc>
          <w:tcPr>
            <w:tcW w:w="2520" w:type="dxa"/>
          </w:tcPr>
          <w:p>
            <w:pPr/>
            <w:r>
              <w:t xml:space="preserve">1.350 (oct 300, nov 450, dic 600)</w:t>
            </w:r>
          </w:p>
        </w:tc>
        <w:tc>
          <w:tcPr>
            <w:tcW w:w="3242" w:type="dxa"/>
          </w:tcPr>
          <w:p>
            <w:pPr/>
            <w:r>
              <w:t xml:space="preserve">1.650 (ene 600, feb 600, mar 450)</w:t>
            </w:r>
          </w:p>
        </w:tc>
        <w:tc>
          <w:tcPr>
            <w:tcW w:w="791" w:type="dxa"/>
          </w:tcPr>
          <w:p>
            <w:pPr/>
            <w:r>
              <w:t xml:space="preserve">3.000</w:t>
            </w:r>
          </w:p>
        </w:tc>
      </w:tr>
      <w:tr>
        <w:tc>
          <w:tcPr>
            <w:tcW w:w="2806" w:type="dxa"/>
          </w:tcPr>
          <w:p>
            <w:pPr/>
            <w:r>
              <w:t xml:space="preserve">Reprogramación</w:t>
            </w:r>
          </w:p>
        </w:tc>
        <w:tc>
          <w:tcPr>
            <w:tcW w:w="2520" w:type="dxa"/>
          </w:tcPr>
          <w:p>
            <w:pPr/>
            <w:r>
              <w:t xml:space="preserve">600 (oct 250, nov 350)</w:t>
            </w:r>
          </w:p>
        </w:tc>
        <w:tc>
          <w:tcPr>
            <w:tcW w:w="3242" w:type="dxa"/>
          </w:tcPr>
          <w:p>
            <w:pPr/>
            <w:r>
              <w:t xml:space="preserve">2.400 (feb 600, mar 650, abr 650, may 500)</w:t>
            </w:r>
          </w:p>
        </w:tc>
        <w:tc>
          <w:tcPr>
            <w:tcW w:w="791" w:type="dxa"/>
          </w:tcPr>
          <w:p>
            <w:pPr/>
            <w:r>
              <w:t xml:space="preserve">3.000</w:t>
            </w:r>
          </w:p>
        </w:tc>
      </w:tr>
    </w:tbl>
    <w:p>
      <w:pPr>
        <w:pStyle w:val="ListParagraph"/>
        <w:numPr>
          <w:ilvl w:val="0"/>
          <w:numId w:val="56"/>
        </w:numPr>
      </w:pPr>
      <w:r>
        <w:t xml:space="preserve">De los $1.950 millones comprometidos en 2026 solo se ejecutan $600 millones. Quedan $1.350 millones sin ejecutar.</w:t>
      </w:r>
    </w:p>
    <w:p>
      <w:pPr>
        <w:pStyle w:val="ListParagraph"/>
        <w:numPr>
          <w:ilvl w:val="0"/>
          <w:numId w:val="56"/>
        </w:numPr>
      </w:pPr>
      <w:r>
        <w:t xml:space="preserve">En 2027 se necesitan $2.400 millones: $1.050 de vigencia futura más $1.350 de una reserva presupuestal constituida al cierre de 2026 sobre el compromiso vigente. Si la entidad prefiere no constituir reserva, debe tramitar el ajuste de la vigencia futura ante la instancia que la aprobó.</w:t>
      </w:r>
    </w:p>
    <w:p>
      <w:pPr>
        <w:pStyle w:val="ListParagraph"/>
        <w:numPr>
          <w:ilvl w:val="0"/>
          <w:numId w:val="56"/>
        </w:numPr>
      </w:pPr>
      <w:r>
        <w:t xml:space="preserve">Incluso con el programa original, el acta de diciembre se pagaba en enero: el interventor debió advertir desde el inicio el desfase entre ejecución y pagos por vigencia.</w:t>
      </w:r>
    </w:p>
    <w:p>
      <w:pPr>
        <w:pStyle w:val="ListParagraph"/>
        <w:numPr>
          <w:ilvl w:val="0"/>
          <w:numId w:val="56"/>
        </w:numPr>
      </w:pPr>
      <w:r>
        <w:t xml:space="preserve">El interventor informa la reprogramación y el nuevo flujo de pagos en cuanto se suspende el contrato y, en todo caso, con tiempo para que la entidad constituya la reserva antes del cierre presupuestal del 31 de diciembre de 2026. Debe advertir que la reserva solo puede ejecutarse durante 2027.</w:t>
      </w:r>
    </w:p>
    <w:p>
      <w:pPr>
        <w:pStyle w:val="ListParagraph"/>
        <w:numPr>
          <w:ilvl w:val="0"/>
          <w:numId w:val="56"/>
        </w:numPr>
      </w:pPr>
      <w:r>
        <w:t xml:space="preserve">Puntaje: 2 por el cuadro, 1 por el mecanismo presupuestal, 1 por la oportunidad del informe.</w:t>
      </w:r>
    </w:p>
    <w:p>
      <w:pPr/>
      <w:r>
        <w:rPr>
          <w:b/>
        </w:rPr>
        <w:t xml:space="preserve">3. Suspensión y reinicio</w:t>
      </w:r>
    </w:p>
    <w:p>
      <w:pPr>
        <w:pStyle w:val="ListParagraph"/>
        <w:numPr>
          <w:ilvl w:val="0"/>
          <w:numId w:val="57"/>
        </w:numPr>
      </w:pPr>
      <w:r>
        <w:t xml:space="preserve">Acta de suspensión firmada por el ordenador del gasto, el contratista y el interventor, con la causa y sus soportes: declaratoria de calamidad, registros del IDEAM, informe técnico y fotografías.</w:t>
      </w:r>
    </w:p>
    <w:p>
      <w:pPr>
        <w:pStyle w:val="ListParagraph"/>
        <w:numPr>
          <w:ilvl w:val="0"/>
          <w:numId w:val="57"/>
        </w:numPr>
      </w:pPr>
      <w:r>
        <w:t xml:space="preserve">Estado de la obra al suspender: avance, balance de cantidades, inventario de materiales y equipos, y medidas de protección, señalización y vigilancia, con su responsable.</w:t>
      </w:r>
    </w:p>
    <w:p>
      <w:pPr>
        <w:pStyle w:val="ListParagraph"/>
        <w:numPr>
          <w:ilvl w:val="0"/>
          <w:numId w:val="57"/>
        </w:numPr>
      </w:pPr>
      <w:r>
        <w:t xml:space="preserve">Fecha prevista o condición de reinicio.</w:t>
      </w:r>
    </w:p>
    <w:p>
      <w:pPr>
        <w:pStyle w:val="ListParagraph"/>
        <w:numPr>
          <w:ilvl w:val="0"/>
          <w:numId w:val="57"/>
        </w:numPr>
      </w:pPr>
      <w:r>
        <w:t xml:space="preserve">Modificación de las garantías para cubrir el tiempo suspendido, aprobada por la entidad.</w:t>
      </w:r>
    </w:p>
    <w:p>
      <w:pPr>
        <w:pStyle w:val="ListParagraph"/>
        <w:numPr>
          <w:ilvl w:val="0"/>
          <w:numId w:val="57"/>
        </w:numPr>
      </w:pPr>
      <w:r>
        <w:t xml:space="preserve">Publicación del acta en el SECOP.</w:t>
      </w:r>
    </w:p>
    <w:p>
      <w:pPr>
        <w:pStyle w:val="ListParagraph"/>
        <w:numPr>
          <w:ilvl w:val="0"/>
          <w:numId w:val="57"/>
        </w:numPr>
      </w:pPr>
      <w:r>
        <w:t xml:space="preserve">Acta de reinicio con verificación de que la causa cesó, programa reprogramado aprobado y garantías ajustadas a la nueva fecha de terminación.</w:t>
      </w:r>
    </w:p>
    <w:p>
      <w:pPr>
        <w:pStyle w:val="ListParagraph"/>
        <w:numPr>
          <w:ilvl w:val="0"/>
          <w:numId w:val="57"/>
        </w:numPr>
      </w:pPr>
      <w:r>
        <w:t xml:space="preserve">Puntaje: 4 si incluye al menos seis elementos; 2 si incluye tres a cinco.</w:t>
      </w:r>
    </w:p>
    <w:p>
      <w:pPr/>
      <w:r>
        <w:rPr>
          <w:b/>
        </w:rPr>
        <w:t xml:space="preserve">4. Reclamación de $180 millones</w:t>
      </w:r>
    </w:p>
    <w:p>
      <w:pPr>
        <w:pStyle w:val="ListParagraph"/>
        <w:numPr>
          <w:ilvl w:val="0"/>
          <w:numId w:val="58"/>
        </w:numPr>
      </w:pPr>
      <w:r>
        <w:t xml:space="preserve">La causa es externa e imprevisible (fuerza mayor). Por regla general, cada parte asume sus propios costos, salvo que el contrato o la matriz de riesgos digan otra cosa.</w:t>
      </w:r>
    </w:p>
    <w:p>
      <w:pPr>
        <w:pStyle w:val="ListParagraph"/>
        <w:numPr>
          <w:ilvl w:val="0"/>
          <w:numId w:val="58"/>
        </w:numPr>
      </w:pPr>
      <w:r>
        <w:t xml:space="preserve">Revisar la matriz de riesgos (a quién se asignó el riesgo de fuerza mayor), la cláusula de suspensión y lo que se pactó en el acta: quién vigila la obra y si el contratista renunció a reclamar.</w:t>
      </w:r>
    </w:p>
    <w:p>
      <w:pPr>
        <w:pStyle w:val="ListParagraph"/>
        <w:numPr>
          <w:ilvl w:val="0"/>
          <w:numId w:val="58"/>
        </w:numPr>
      </w:pPr>
      <w:r>
        <w:t xml:space="preserve">Pedir soportes: contratos y pagos de vigilancia, facturas de alquiler, prueba de que el equipo permaneció en obra y razón por la que no se desmovilizó. El contratista tiene el deber de mitigar el daño.</w:t>
      </w:r>
    </w:p>
    <w:p>
      <w:pPr>
        <w:pStyle w:val="ListParagraph"/>
        <w:numPr>
          <w:ilvl w:val="0"/>
          <w:numId w:val="58"/>
        </w:numPr>
      </w:pPr>
      <w:r>
        <w:t xml:space="preserve">Si la entidad ordenó mantener equipo o vigilancia en el sitio, los costos razonables y probados pueden reconocerse. El interventor emite el concepto; la entidad decide.</w:t>
      </w:r>
    </w:p>
    <w:p>
      <w:pPr>
        <w:pStyle w:val="ListParagraph"/>
        <w:numPr>
          <w:ilvl w:val="0"/>
          <w:numId w:val="58"/>
        </w:numPr>
      </w:pPr>
      <w:r>
        <w:t xml:space="preserve">Puntaje: 1 por el análisis de riesgo, 1 por los documentos que revisa, 1 por los soportes.</w:t>
      </w:r>
    </w:p>
    <w:p>
      <w:pPr>
        <w:pStyle w:val="Heading3"/>
      </w:pPr>
      <w:r>
        <w:t xml:space="preserve">Clave del caso integrador 4. PTAR</w:t>
      </w:r>
    </w:p>
    <w:p>
      <w:pPr/>
      <w:r>
        <w:t xml:space="preserve">El saldo neto a favor del contratista es $890 millones y deben liberarse $500 millones no ejecutados. El recibo final no procede mientras la planta no alcance el 80 % de remoción de DBO5.</w:t>
      </w:r>
    </w:p>
    <w:p>
      <w:pPr/>
      <w:r>
        <w:rPr>
          <w:b/>
        </w:rPr>
        <w:t xml:space="preserve">1. Balance financiero final ($ millones)</w:t>
      </w:r>
    </w:p>
    <w:tbl>
      <w:tblPr>
        <w:tblStyle w:val="TableGrid"/>
        <w:tblW w:w="0" w:type="auto"/>
        <w:tblLayout w:type="fixed"/>
        <w:tblLook w:val="04A0" w:firstRow="1" w:lastRow="0" w:firstColumn="0" w:lastColumn="0" w:noHBand="0" w:noVBand="1"/>
      </w:tblPr>
      <w:tblGrid>
        <w:gridCol w:w="5876"/>
        <w:gridCol w:w="2379"/>
        <w:gridCol w:w="1104"/>
      </w:tblGrid>
      <w:tr>
        <w:trPr>
          <w:tblHeader/>
        </w:trPr>
        <w:tc>
          <w:tcPr>
            <w:tcW w:w="5876" w:type="dxa"/>
            <w:shd w:val="clear" w:color="auto" w:fill="F2F2F2"/>
          </w:tcPr>
          <w:p>
            <w:pPr/>
            <w:r>
              <w:t xml:space="preserve">Concepto</w:t>
            </w:r>
          </w:p>
        </w:tc>
        <w:tc>
          <w:tcPr>
            <w:tcW w:w="2379" w:type="dxa"/>
            <w:shd w:val="clear" w:color="auto" w:fill="F2F2F2"/>
          </w:tcPr>
          <w:p>
            <w:pPr/>
            <w:r>
              <w:t xml:space="preserve">Cálculo</w:t>
            </w:r>
          </w:p>
        </w:tc>
        <w:tc>
          <w:tcPr>
            <w:tcW w:w="1104" w:type="dxa"/>
            <w:shd w:val="clear" w:color="auto" w:fill="F2F2F2"/>
          </w:tcPr>
          <w:p>
            <w:pPr/>
            <w:r>
              <w:t xml:space="preserve">Valor</w:t>
            </w:r>
          </w:p>
        </w:tc>
      </w:tr>
      <w:tr>
        <w:tc>
          <w:tcPr>
            <w:tcW w:w="5876" w:type="dxa"/>
          </w:tcPr>
          <w:p>
            <w:pPr/>
            <w:r>
              <w:t xml:space="preserve">Valor total del contrato</w:t>
            </w:r>
          </w:p>
        </w:tc>
        <w:tc>
          <w:tcPr>
            <w:tcW w:w="2379" w:type="dxa"/>
          </w:tcPr>
          <w:p>
            <w:pPr/>
            <w:r>
              <w:t xml:space="preserve">22.000 + 3.000</w:t>
            </w:r>
          </w:p>
        </w:tc>
        <w:tc>
          <w:tcPr>
            <w:tcW w:w="1104" w:type="dxa"/>
          </w:tcPr>
          <w:p>
            <w:pPr/>
            <w:r>
              <w:t xml:space="preserve">25.000</w:t>
            </w:r>
          </w:p>
        </w:tc>
      </w:tr>
      <w:tr>
        <w:tc>
          <w:tcPr>
            <w:tcW w:w="5876" w:type="dxa"/>
          </w:tcPr>
          <w:p>
            <w:pPr/>
            <w:r>
              <w:t xml:space="preserve">Valor ejecutado</w:t>
            </w:r>
          </w:p>
        </w:tc>
        <w:tc>
          <w:tcPr>
            <w:tcW w:w="2379" w:type="dxa"/>
          </w:tcPr>
          <w:p>
            <w:pPr/>
            <w:r>
              <w:t xml:space="preserve">23.400 + 1.100</w:t>
            </w:r>
          </w:p>
        </w:tc>
        <w:tc>
          <w:tcPr>
            <w:tcW w:w="1104" w:type="dxa"/>
          </w:tcPr>
          <w:p>
            <w:pPr/>
            <w:r>
              <w:t xml:space="preserve">24.500</w:t>
            </w:r>
          </w:p>
        </w:tc>
      </w:tr>
      <w:tr>
        <w:tc>
          <w:tcPr>
            <w:tcW w:w="5876" w:type="dxa"/>
          </w:tcPr>
          <w:p>
            <w:pPr/>
            <w:r>
              <w:t xml:space="preserve">Saldo por ejecutar a liberar</w:t>
            </w:r>
          </w:p>
        </w:tc>
        <w:tc>
          <w:tcPr>
            <w:tcW w:w="2379" w:type="dxa"/>
          </w:tcPr>
          <w:p>
            <w:pPr/>
            <w:r>
              <w:t xml:space="preserve">25.000 − 24.500</w:t>
            </w:r>
          </w:p>
        </w:tc>
        <w:tc>
          <w:tcPr>
            <w:tcW w:w="1104" w:type="dxa"/>
          </w:tcPr>
          <w:p>
            <w:pPr/>
            <w:r>
              <w:t xml:space="preserve">500</w:t>
            </w:r>
          </w:p>
        </w:tc>
      </w:tr>
      <w:tr>
        <w:tc>
          <w:tcPr>
            <w:tcW w:w="5876" w:type="dxa"/>
          </w:tcPr>
          <w:p>
            <w:pPr/>
            <w:r>
              <w:t xml:space="preserve">Acta final (valor bruto)</w:t>
            </w:r>
          </w:p>
        </w:tc>
        <w:tc>
          <w:tcPr>
            <w:tcW w:w="2379" w:type="dxa"/>
          </w:tcPr>
          <w:p>
            <w:pPr/>
            <w:r>
              <w:t xml:space="preserve">24.500 − 23.100</w:t>
            </w:r>
          </w:p>
        </w:tc>
        <w:tc>
          <w:tcPr>
            <w:tcW w:w="1104" w:type="dxa"/>
          </w:tcPr>
          <w:p>
            <w:pPr/>
            <w:r>
              <w:t xml:space="preserve">1.400</w:t>
            </w:r>
          </w:p>
        </w:tc>
      </w:tr>
      <w:tr>
        <w:tc>
          <w:tcPr>
            <w:tcW w:w="5876" w:type="dxa"/>
          </w:tcPr>
          <w:p>
            <w:pPr/>
            <w:r>
              <w:t xml:space="preserve">Menos anticipo por amortizar</w:t>
            </w:r>
          </w:p>
        </w:tc>
        <w:tc>
          <w:tcPr>
            <w:tcW w:w="2379" w:type="dxa"/>
          </w:tcPr>
          <w:p>
            <w:pPr/>
            <w:r>
              <w:t xml:space="preserve">6.600 − 6.300</w:t>
            </w:r>
          </w:p>
        </w:tc>
        <w:tc>
          <w:tcPr>
            <w:tcW w:w="1104" w:type="dxa"/>
          </w:tcPr>
          <w:p>
            <w:pPr/>
            <w:r>
              <w:t xml:space="preserve">−300</w:t>
            </w:r>
          </w:p>
        </w:tc>
      </w:tr>
      <w:tr>
        <w:tc>
          <w:tcPr>
            <w:tcW w:w="5876" w:type="dxa"/>
          </w:tcPr>
          <w:p>
            <w:pPr/>
            <w:r>
              <w:t xml:space="preserve">Menos multa en firme</w:t>
            </w:r>
          </w:p>
        </w:tc>
        <w:tc>
          <w:tcPr>
            <w:tcW w:w="2379" w:type="dxa"/>
          </w:tcPr>
          <w:p>
            <w:pPr/>
          </w:p>
        </w:tc>
        <w:tc>
          <w:tcPr>
            <w:tcW w:w="1104" w:type="dxa"/>
          </w:tcPr>
          <w:p>
            <w:pPr/>
            <w:r>
              <w:t xml:space="preserve">−150</w:t>
            </w:r>
          </w:p>
        </w:tc>
      </w:tr>
      <w:tr>
        <w:tc>
          <w:tcPr>
            <w:tcW w:w="5876" w:type="dxa"/>
          </w:tcPr>
          <w:p>
            <w:pPr/>
            <w:r>
              <w:t xml:space="preserve">Menos rendimientos pendientes de reintegro</w:t>
            </w:r>
          </w:p>
        </w:tc>
        <w:tc>
          <w:tcPr>
            <w:tcW w:w="2379" w:type="dxa"/>
          </w:tcPr>
          <w:p>
            <w:pPr/>
            <w:r>
              <w:t xml:space="preserve">180 − 120</w:t>
            </w:r>
          </w:p>
        </w:tc>
        <w:tc>
          <w:tcPr>
            <w:tcW w:w="1104" w:type="dxa"/>
          </w:tcPr>
          <w:p>
            <w:pPr/>
            <w:r>
              <w:t xml:space="preserve">−60</w:t>
            </w:r>
          </w:p>
        </w:tc>
      </w:tr>
      <w:tr>
        <w:tc>
          <w:tcPr>
            <w:tcW w:w="5876" w:type="dxa"/>
          </w:tcPr>
          <w:p>
            <w:pPr/>
            <w:r>
              <w:rPr>
                <w:b/>
              </w:rPr>
              <w:t xml:space="preserve">Saldo neto a favor del contratista</w:t>
            </w:r>
          </w:p>
        </w:tc>
        <w:tc>
          <w:tcPr>
            <w:tcW w:w="2379" w:type="dxa"/>
          </w:tcPr>
          <w:p>
            <w:pPr/>
          </w:p>
        </w:tc>
        <w:tc>
          <w:tcPr>
            <w:tcW w:w="1104" w:type="dxa"/>
          </w:tcPr>
          <w:p>
            <w:pPr/>
            <w:r>
              <w:rPr>
                <w:b/>
              </w:rPr>
              <w:t xml:space="preserve">890</w:t>
            </w:r>
          </w:p>
        </w:tc>
      </w:tr>
    </w:tbl>
    <w:p>
      <w:pPr>
        <w:pStyle w:val="ListParagraph"/>
        <w:numPr>
          <w:ilvl w:val="0"/>
          <w:numId w:val="59"/>
        </w:numPr>
      </w:pPr>
      <w:r>
        <w:t xml:space="preserve">También es válido que la fiduciaria reintegre los $60 millones directamente a la entidad; entonces el acta final neta es $950 millones.</w:t>
      </w:r>
    </w:p>
    <w:p>
      <w:pPr>
        <w:pStyle w:val="ListParagraph"/>
        <w:numPr>
          <w:ilvl w:val="0"/>
          <w:numId w:val="59"/>
        </w:numPr>
      </w:pPr>
      <w:r>
        <w:t xml:space="preserve">La multa puede descontarse de los saldos a favor del contratista (artículo 17 de la Ley 1150 de 2007).</w:t>
      </w:r>
    </w:p>
    <w:p>
      <w:pPr>
        <w:pStyle w:val="ListParagraph"/>
        <w:numPr>
          <w:ilvl w:val="0"/>
          <w:numId w:val="59"/>
        </w:numPr>
      </w:pPr>
      <w:r>
        <w:t xml:space="preserve">El saldo de $500 millones se libera del registro presupuestal.</w:t>
      </w:r>
    </w:p>
    <w:p>
      <w:pPr>
        <w:pStyle w:val="ListParagraph"/>
        <w:numPr>
          <w:ilvl w:val="0"/>
          <w:numId w:val="59"/>
        </w:numPr>
      </w:pPr>
      <w:r>
        <w:t xml:space="preserve">Puntaje: 1 por cada uno de estos cálculos: valor total y ejecutado, saldo a liberar, acta final, descuentos y saldo neto.</w:t>
      </w:r>
    </w:p>
    <w:p>
      <w:pPr/>
      <w:r>
        <w:rPr>
          <w:b/>
        </w:rPr>
        <w:t xml:space="preserve">2. Recibo final, arranque y estabilización</w:t>
      </w:r>
    </w:p>
    <w:p>
      <w:pPr>
        <w:pStyle w:val="ListParagraph"/>
        <w:numPr>
          <w:ilvl w:val="0"/>
          <w:numId w:val="60"/>
        </w:numPr>
      </w:pPr>
      <w:r>
        <w:t xml:space="preserve">No se recomienda el recibo final. El objeto incluye el arranque y la estabilización por 90 días, y la planta no cumple la eficiencia del diseño ni la del permiso de vertimiento. Si el contrato lo prevé, puede firmarse un acta de terminación de la obra civil, sin que valga como recibo a satisfacción.</w:t>
      </w:r>
    </w:p>
    <w:p>
      <w:pPr>
        <w:pStyle w:val="ListParagraph"/>
        <w:numPr>
          <w:ilvl w:val="0"/>
          <w:numId w:val="60"/>
        </w:numPr>
      </w:pPr>
      <w:r>
        <w:t xml:space="preserve">Controles: protocolo de arranque aprobado; pruebas de los equipos electromecánicos; monitoreo de caudal, DBO5, DQO, sólidos y pH con laboratorio acreditado por el IDEAM; análisis de causas si no se logra la remoción (diseño, construcción u operación); capacitación del operador y manuales.</w:t>
      </w:r>
    </w:p>
    <w:p>
      <w:pPr>
        <w:pStyle w:val="ListParagraph"/>
        <w:numPr>
          <w:ilvl w:val="0"/>
          <w:numId w:val="60"/>
        </w:numPr>
      </w:pPr>
      <w:r>
        <w:t xml:space="preserve">Normas: Resolución 0330 de 2017 (RAS) y Resolución 0631 de 2015 (vertimientos).</w:t>
      </w:r>
    </w:p>
    <w:p>
      <w:pPr>
        <w:pStyle w:val="ListParagraph"/>
        <w:numPr>
          <w:ilvl w:val="0"/>
          <w:numId w:val="60"/>
        </w:numPr>
      </w:pPr>
      <w:r>
        <w:t xml:space="preserve">El operador participa en las pruebas y en la capacitación y firma la recepción. La autoridad ambiental verifica el cumplimiento del permiso de vertimiento.</w:t>
      </w:r>
    </w:p>
    <w:p>
      <w:pPr>
        <w:pStyle w:val="ListParagraph"/>
        <w:numPr>
          <w:ilvl w:val="0"/>
          <w:numId w:val="60"/>
        </w:numPr>
      </w:pPr>
      <w:r>
        <w:t xml:space="preserve">Puntaje: 1 por la decisión, 2 por los controles, 1 por el papel del operador y la autoridad ambiental.</w:t>
      </w:r>
    </w:p>
    <w:p>
      <w:pPr/>
      <w:r>
        <w:rPr>
          <w:b/>
        </w:rPr>
        <w:t xml:space="preserve">3. Salvedades y falta de firma</w:t>
      </w:r>
    </w:p>
    <w:p>
      <w:pPr>
        <w:pStyle w:val="ListParagraph"/>
        <w:numPr>
          <w:ilvl w:val="0"/>
          <w:numId w:val="61"/>
        </w:numPr>
      </w:pPr>
      <w:r>
        <w:t xml:space="preserve">El contratista puede dejar salvedades en la liquidación bilateral. Deben ser concretas, con su valor y su causa. Lo que no se salve no podrá reclamarse después.</w:t>
      </w:r>
    </w:p>
    <w:p>
      <w:pPr>
        <w:pStyle w:val="ListParagraph"/>
        <w:numPr>
          <w:ilvl w:val="0"/>
          <w:numId w:val="61"/>
        </w:numPr>
      </w:pPr>
      <w:r>
        <w:t xml:space="preserve">El interventor da su concepto sobre la reclamación de $900 millones: ¿la mayor permanencia es imputable a la entidad?, ¿está probada?, ¿se renunció a ella en prórrogas o suspensiones anteriores?</w:t>
      </w:r>
    </w:p>
    <w:p>
      <w:pPr>
        <w:pStyle w:val="ListParagraph"/>
        <w:numPr>
          <w:ilvl w:val="0"/>
          <w:numId w:val="61"/>
        </w:numPr>
      </w:pPr>
      <w:r>
        <w:t xml:space="preserve">Si el contratista no firma o no hay acuerdo, la entidad liquida unilateralmente por acto administrativo en los 2 meses siguientes, o sobre los aspectos no acordados (artículo 11 de la Ley 1150). Contra ese acto procede el recurso de reposición.</w:t>
      </w:r>
    </w:p>
    <w:p>
      <w:pPr>
        <w:pStyle w:val="ListParagraph"/>
        <w:numPr>
          <w:ilvl w:val="0"/>
          <w:numId w:val="61"/>
        </w:numPr>
      </w:pPr>
      <w:r>
        <w:t xml:space="preserve">Puntaje: 1 por las salvedades, 1 por el concepto, 1 por la liquidación unilateral.</w:t>
      </w:r>
    </w:p>
    <w:p>
      <w:pPr/>
      <w:r>
        <w:rPr>
          <w:b/>
        </w:rPr>
        <w:t xml:space="preserve">4. Garantías y documentos de cierre</w:t>
      </w:r>
    </w:p>
    <w:p>
      <w:pPr>
        <w:pStyle w:val="ListParagraph"/>
        <w:numPr>
          <w:ilvl w:val="0"/>
          <w:numId w:val="62"/>
        </w:numPr>
      </w:pPr>
      <w:r>
        <w:t xml:space="preserve">Garantías: estabilidad y calidad de la obra (mínimo 5 años desde el recibo), calidad y correcto funcionamiento de los equipos suministrados, y pago de salarios y prestaciones (plazo del contrato más 3 años).</w:t>
      </w:r>
    </w:p>
    <w:p>
      <w:pPr>
        <w:pStyle w:val="ListParagraph"/>
        <w:numPr>
          <w:ilvl w:val="0"/>
          <w:numId w:val="62"/>
        </w:numPr>
      </w:pPr>
      <w:r>
        <w:t xml:space="preserve">Documentos: planos récord, manuales de operación y mantenimiento, garantías de los fabricantes, actas de capacitación, acta de entrega al operador, paz y salvos laborales, ambientales y de vecindad, certificado de cierre de la fiducia con el reintegro de rendimientos, e informe final de interventoría.</w:t>
      </w:r>
    </w:p>
    <w:p>
      <w:pPr>
        <w:pStyle w:val="ListParagraph"/>
        <w:numPr>
          <w:ilvl w:val="0"/>
          <w:numId w:val="62"/>
        </w:numPr>
      </w:pPr>
      <w:r>
        <w:t xml:space="preserve">Puntaje: 1,5 por las garantías y 1,5 por los documentos.</w:t>
      </w:r>
    </w:p>
    <w:p>
      <w:pPr>
        <w:pStyle w:val="Heading3"/>
      </w:pPr>
      <w:r>
        <w:t xml:space="preserve">Escala de calificación</w:t>
      </w:r>
    </w:p>
    <w:tbl>
      <w:tblPr>
        <w:tblStyle w:val="TableGrid"/>
        <w:tblW w:w="0" w:type="auto"/>
        <w:tblLayout w:type="fixed"/>
        <w:tblLook w:val="04A0" w:firstRow="1" w:lastRow="0" w:firstColumn="0" w:lastColumn="0" w:noHBand="0" w:noVBand="1"/>
      </w:tblPr>
      <w:tblGrid>
        <w:gridCol w:w="2097"/>
        <w:gridCol w:w="1391"/>
        <w:gridCol w:w="1661"/>
        <w:gridCol w:w="4211"/>
      </w:tblGrid>
      <w:tr>
        <w:trPr>
          <w:tblHeader/>
        </w:trPr>
        <w:tc>
          <w:tcPr>
            <w:tcW w:w="2097" w:type="dxa"/>
            <w:shd w:val="clear" w:color="auto" w:fill="F2F2F2"/>
          </w:tcPr>
          <w:p>
            <w:pPr/>
            <w:r>
              <w:t xml:space="preserve">Rango (sobre 150)</w:t>
            </w:r>
          </w:p>
        </w:tc>
        <w:tc>
          <w:tcPr>
            <w:tcW w:w="1391" w:type="dxa"/>
            <w:shd w:val="clear" w:color="auto" w:fill="F2F2F2"/>
          </w:tcPr>
          <w:p>
            <w:pPr/>
            <w:r>
              <w:t xml:space="preserve">Porcentaje</w:t>
            </w:r>
          </w:p>
        </w:tc>
        <w:tc>
          <w:tcPr>
            <w:tcW w:w="1661" w:type="dxa"/>
            <w:shd w:val="clear" w:color="auto" w:fill="F2F2F2"/>
          </w:tcPr>
          <w:p>
            <w:pPr/>
            <w:r>
              <w:t xml:space="preserve">Resultado</w:t>
            </w:r>
          </w:p>
        </w:tc>
        <w:tc>
          <w:tcPr>
            <w:tcW w:w="4211" w:type="dxa"/>
            <w:shd w:val="clear" w:color="auto" w:fill="F2F2F2"/>
          </w:tcPr>
          <w:p>
            <w:pPr/>
            <w:r>
              <w:t xml:space="preserve">Interpretación</w:t>
            </w:r>
          </w:p>
        </w:tc>
      </w:tr>
      <w:tr>
        <w:tc>
          <w:tcPr>
            <w:tcW w:w="2097" w:type="dxa"/>
          </w:tcPr>
          <w:p>
            <w:pPr/>
            <w:r>
              <w:t xml:space="preserve">135 a 150</w:t>
            </w:r>
          </w:p>
        </w:tc>
        <w:tc>
          <w:tcPr>
            <w:tcW w:w="1391" w:type="dxa"/>
          </w:tcPr>
          <w:p>
            <w:pPr/>
            <w:r>
              <w:t xml:space="preserve">90 a 100 %</w:t>
            </w:r>
          </w:p>
        </w:tc>
        <w:tc>
          <w:tcPr>
            <w:tcW w:w="1661" w:type="dxa"/>
          </w:tcPr>
          <w:p>
            <w:pPr/>
            <w:r>
              <w:t xml:space="preserve">Sobresaliente</w:t>
            </w:r>
          </w:p>
        </w:tc>
        <w:tc>
          <w:tcPr>
            <w:tcW w:w="4211" w:type="dxa"/>
          </w:tcPr>
          <w:p>
            <w:pPr/>
            <w:r>
              <w:t xml:space="preserve">Aplica los controles con criterio, límites de facultades y soporte normativo.</w:t>
            </w:r>
          </w:p>
        </w:tc>
      </w:tr>
      <w:tr>
        <w:tc>
          <w:tcPr>
            <w:tcW w:w="2097" w:type="dxa"/>
          </w:tcPr>
          <w:p>
            <w:pPr/>
            <w:r>
              <w:t xml:space="preserve">105 a 134</w:t>
            </w:r>
          </w:p>
        </w:tc>
        <w:tc>
          <w:tcPr>
            <w:tcW w:w="1391" w:type="dxa"/>
          </w:tcPr>
          <w:p>
            <w:pPr/>
            <w:r>
              <w:t xml:space="preserve">70 a 89 %</w:t>
            </w:r>
          </w:p>
        </w:tc>
        <w:tc>
          <w:tcPr>
            <w:tcW w:w="1661" w:type="dxa"/>
          </w:tcPr>
          <w:p>
            <w:pPr/>
            <w:r>
              <w:t xml:space="preserve">Aprobado</w:t>
            </w:r>
          </w:p>
        </w:tc>
        <w:tc>
          <w:tcPr>
            <w:tcW w:w="4211" w:type="dxa"/>
          </w:tcPr>
          <w:p>
            <w:pPr/>
            <w:r>
              <w:t xml:space="preserve">Domina los controles principales; refuerce los temas con menor puntaje.</w:t>
            </w:r>
          </w:p>
        </w:tc>
      </w:tr>
      <w:tr>
        <w:tc>
          <w:tcPr>
            <w:tcW w:w="2097" w:type="dxa"/>
          </w:tcPr>
          <w:p>
            <w:pPr/>
            <w:r>
              <w:t xml:space="preserve">75 a 104</w:t>
            </w:r>
          </w:p>
        </w:tc>
        <w:tc>
          <w:tcPr>
            <w:tcW w:w="1391" w:type="dxa"/>
          </w:tcPr>
          <w:p>
            <w:pPr/>
            <w:r>
              <w:t xml:space="preserve">50 a 69 %</w:t>
            </w:r>
          </w:p>
        </w:tc>
        <w:tc>
          <w:tcPr>
            <w:tcW w:w="1661" w:type="dxa"/>
          </w:tcPr>
          <w:p>
            <w:pPr/>
            <w:r>
              <w:t xml:space="preserve">Insuficiente</w:t>
            </w:r>
          </w:p>
        </w:tc>
        <w:tc>
          <w:tcPr>
            <w:tcW w:w="4211" w:type="dxa"/>
          </w:tcPr>
          <w:p>
            <w:pPr/>
            <w:r>
              <w:t xml:space="preserve">Conoce los conceptos, pero no los aplica bien a situaciones reales.</w:t>
            </w:r>
          </w:p>
        </w:tc>
      </w:tr>
      <w:tr>
        <w:tc>
          <w:tcPr>
            <w:tcW w:w="2097" w:type="dxa"/>
          </w:tcPr>
          <w:p>
            <w:pPr/>
            <w:r>
              <w:t xml:space="preserve">0 a 74</w:t>
            </w:r>
          </w:p>
        </w:tc>
        <w:tc>
          <w:tcPr>
            <w:tcW w:w="1391" w:type="dxa"/>
          </w:tcPr>
          <w:p>
            <w:pPr/>
            <w:r>
              <w:t xml:space="preserve">0 a 49 %</w:t>
            </w:r>
          </w:p>
        </w:tc>
        <w:tc>
          <w:tcPr>
            <w:tcW w:w="1661" w:type="dxa"/>
          </w:tcPr>
          <w:p>
            <w:pPr/>
            <w:r>
              <w:t xml:space="preserve">Deficiente</w:t>
            </w:r>
          </w:p>
        </w:tc>
        <w:tc>
          <w:tcPr>
            <w:tcW w:w="4211" w:type="dxa"/>
          </w:tcPr>
          <w:p>
            <w:pPr/>
            <w:r>
              <w:t xml:space="preserve">Requiere formación en el marco normativo y en los manuales de interventoría.</w:t>
            </w:r>
          </w:p>
        </w:tc>
      </w:tr>
    </w:tbl>
    <w:p>
      <w:pPr/>
      <w:r>
        <w:t xml:space="preserve">Criterio transversal: se descuenta 1 punto por respuesta abierta en la que el interventor se atribuya facultades que no tiene, como modificar el contrato, imponer multas, declarar la urgencia o pagar directamente.</w:t>
      </w:r>
    </w:p>
    <w:p>
      <w:pPr>
        <w:pStyle w:val="Heading2"/>
      </w:pPr>
      <w:r>
        <w:t xml:space="preserve">Verificación normativa</w:t>
      </w:r>
    </w:p>
    <w:p>
      <w:pPr/>
      <w:r>
        <w:t xml:space="preserve">Las citas del examen coinciden con lo encontrado. Se precisaron cinco: RCD, reporte de accidentes, reorganización, sanciones ambientales y prórroga de licencias. Los sitios oficiales (Función Pública, Secretaría del Senado) no se pudieron abrir desde este entorno, así que la verificación se hizo con conceptos de Colombia Compra Eficiente, normogramas de entidades y textos que transcriben las normas.</w:t>
      </w:r>
    </w:p>
    <w:tbl>
      <w:tblPr>
        <w:tblStyle w:val="TableGrid"/>
        <w:tblW w:w="0" w:type="auto"/>
        <w:tblLayout w:type="fixed"/>
        <w:tblLook w:val="04A0" w:firstRow="1" w:lastRow="0" w:firstColumn="0" w:lastColumn="0" w:noHBand="0" w:noVBand="1"/>
      </w:tblPr>
      <w:tblGrid>
        <w:gridCol w:w="3979"/>
        <w:gridCol w:w="3781"/>
        <w:gridCol w:w="1600"/>
      </w:tblGrid>
      <w:tr>
        <w:trPr>
          <w:tblHeader/>
        </w:trPr>
        <w:tc>
          <w:tcPr>
            <w:tcW w:w="3979" w:type="dxa"/>
            <w:shd w:val="clear" w:color="auto" w:fill="F2F2F2"/>
          </w:tcPr>
          <w:p>
            <w:pPr/>
            <w:r>
              <w:t xml:space="preserve">Norma citada</w:t>
            </w:r>
          </w:p>
        </w:tc>
        <w:tc>
          <w:tcPr>
            <w:tcW w:w="3781" w:type="dxa"/>
            <w:shd w:val="clear" w:color="auto" w:fill="F2F2F2"/>
          </w:tcPr>
          <w:p>
            <w:pPr/>
            <w:r>
              <w:t xml:space="preserve">Resultado</w:t>
            </w:r>
          </w:p>
        </w:tc>
        <w:tc>
          <w:tcPr>
            <w:tcW w:w="1600" w:type="dxa"/>
            <w:shd w:val="clear" w:color="auto" w:fill="F2F2F2"/>
          </w:tcPr>
          <w:p>
            <w:pPr/>
            <w:r>
              <w:t xml:space="preserve">Fuente</w:t>
            </w:r>
          </w:p>
        </w:tc>
      </w:tr>
      <w:tr>
        <w:tc>
          <w:tcPr>
            <w:tcW w:w="3979" w:type="dxa"/>
          </w:tcPr>
          <w:p>
            <w:pPr/>
            <w:r>
              <w:t xml:space="preserve">Ley 1474 de 2011, art. 83 (no concurrencia de supervisión e interventoría)</w:t>
            </w:r>
          </w:p>
        </w:tc>
        <w:tc>
          <w:tcPr>
            <w:tcW w:w="3781" w:type="dxa"/>
          </w:tcPr>
          <w:p>
            <w:pPr/>
            <w:r>
              <w:t xml:space="preserve">Confirmado: si la entidad divide la vigilancia, el contrato de interventoría indica las actividades del interventor y el resto queda al supervisor</w:t>
            </w:r>
          </w:p>
        </w:tc>
        <w:tc>
          <w:tcPr>
            <w:tcW w:w="1600" w:type="dxa"/>
          </w:tcPr>
          <w:p>
            <w:pPr/>
            <w:hyperlink r:id="rId4" w:history="1">
              <w:r>
                <w:rPr>
                  <w:rStyle w:val="Hyperlink"/>
                </w:rPr>
                <w:t xml:space="preserve">Colombia Compra Eficiente, conceptos</w:t>
              </w:r>
            </w:hyperlink>
          </w:p>
        </w:tc>
      </w:tr>
      <w:tr>
        <w:tc>
          <w:tcPr>
            <w:tcW w:w="3979" w:type="dxa"/>
          </w:tcPr>
          <w:p>
            <w:pPr/>
            <w:r>
              <w:t xml:space="preserve">Ley 1474 de 2011, art. 84, par. 3 (responsabilidad solidaria del interventor)</w:t>
            </w:r>
          </w:p>
        </w:tc>
        <w:tc>
          <w:tcPr>
            <w:tcW w:w="3781" w:type="dxa"/>
          </w:tcPr>
          <w:p>
            <w:pPr/>
            <w:r>
              <w:t xml:space="preserve">Confirmado</w:t>
            </w:r>
          </w:p>
        </w:tc>
        <w:tc>
          <w:tcPr>
            <w:tcW w:w="1600" w:type="dxa"/>
          </w:tcPr>
          <w:p>
            <w:pPr/>
            <w:hyperlink r:id="rId5" w:history="1">
              <w:r>
                <w:rPr>
                  <w:rStyle w:val="Hyperlink"/>
                </w:rPr>
                <w:t xml:space="preserve">Auditoría IDPC</w:t>
              </w:r>
            </w:hyperlink>
          </w:p>
        </w:tc>
      </w:tr>
      <w:tr>
        <w:tc>
          <w:tcPr>
            <w:tcW w:w="3979" w:type="dxa"/>
          </w:tcPr>
          <w:p>
            <w:pPr/>
            <w:r>
              <w:t xml:space="preserve">Ley 1474 de 2011, art. 91 (fiducia del anticipo)</w:t>
            </w:r>
          </w:p>
        </w:tc>
        <w:tc>
          <w:tcPr>
            <w:tcW w:w="3781" w:type="dxa"/>
          </w:tcPr>
          <w:p>
            <w:pPr/>
            <w:r>
              <w:t xml:space="preserve">Confirmado; no aplica en selección abreviada de menor cuantía ni en mínima cuantía</w:t>
            </w:r>
          </w:p>
        </w:tc>
        <w:tc>
          <w:tcPr>
            <w:tcW w:w="1600" w:type="dxa"/>
          </w:tcPr>
          <w:p>
            <w:pPr/>
            <w:hyperlink r:id="rId6" w:history="1">
              <w:r>
                <w:rPr>
                  <w:rStyle w:val="Hyperlink"/>
                </w:rPr>
                <w:t xml:space="preserve">Concepto C-845 de 2025</w:t>
              </w:r>
            </w:hyperlink>
          </w:p>
        </w:tc>
      </w:tr>
      <w:tr>
        <w:tc>
          <w:tcPr>
            <w:tcW w:w="3979" w:type="dxa"/>
          </w:tcPr>
          <w:p>
            <w:pPr/>
            <w:r>
              <w:t xml:space="preserve">Ley 1474 de 2011, art. 118 (culpa grave por omisiones de interventoría)</w:t>
            </w:r>
          </w:p>
        </w:tc>
        <w:tc>
          <w:tcPr>
            <w:tcW w:w="3781" w:type="dxa"/>
          </w:tcPr>
          <w:p>
            <w:pPr/>
            <w:r>
              <w:t xml:space="preserve">Confirmado en fuentes secundarias; el literal exacto no se pudo leer</w:t>
            </w:r>
          </w:p>
        </w:tc>
        <w:tc>
          <w:tcPr>
            <w:tcW w:w="1600" w:type="dxa"/>
          </w:tcPr>
          <w:p>
            <w:pPr/>
            <w:hyperlink r:id="rId7" w:history="1">
              <w:r>
                <w:rPr>
                  <w:rStyle w:val="Hyperlink"/>
                </w:rPr>
                <w:t xml:space="preserve">Sentencia C-512 de 2013</w:t>
              </w:r>
            </w:hyperlink>
          </w:p>
        </w:tc>
      </w:tr>
      <w:tr>
        <w:tc>
          <w:tcPr>
            <w:tcW w:w="3979" w:type="dxa"/>
          </w:tcPr>
          <w:p>
            <w:pPr/>
            <w:r>
              <w:t xml:space="preserve">Ley 1150 de 2007, art. 11 (liquidación: 4 meses, 2 meses, 2 años)</w:t>
            </w:r>
          </w:p>
        </w:tc>
        <w:tc>
          <w:tcPr>
            <w:tcW w:w="3781" w:type="dxa"/>
          </w:tcPr>
          <w:p>
            <w:pPr/>
            <w:r>
              <w:t xml:space="preserve">Confirmado</w:t>
            </w:r>
          </w:p>
        </w:tc>
        <w:tc>
          <w:tcPr>
            <w:tcW w:w="1600" w:type="dxa"/>
          </w:tcPr>
          <w:p>
            <w:pPr/>
            <w:hyperlink r:id="rId8" w:history="1">
              <w:r>
                <w:rPr>
                  <w:rStyle w:val="Hyperlink"/>
                </w:rPr>
                <w:t xml:space="preserve">Colombia Compra Eficiente</w:t>
              </w:r>
            </w:hyperlink>
          </w:p>
        </w:tc>
      </w:tr>
      <w:tr>
        <w:tc>
          <w:tcPr>
            <w:tcW w:w="3979" w:type="dxa"/>
          </w:tcPr>
          <w:p>
            <w:pPr/>
            <w:r>
              <w:t xml:space="preserve">Ley 80 de 1993, art. 32 (interventoría obligatoria en obra licitada)</w:t>
            </w:r>
          </w:p>
        </w:tc>
        <w:tc>
          <w:tcPr>
            <w:tcW w:w="3781" w:type="dxa"/>
          </w:tcPr>
          <w:p>
            <w:pPr/>
            <w:r>
              <w:t xml:space="preserve">Confirmado</w:t>
            </w:r>
          </w:p>
        </w:tc>
        <w:tc>
          <w:tcPr>
            <w:tcW w:w="1600" w:type="dxa"/>
          </w:tcPr>
          <w:p>
            <w:pPr/>
            <w:hyperlink r:id="rId9" w:history="1">
              <w:r>
                <w:rPr>
                  <w:rStyle w:val="Hyperlink"/>
                </w:rPr>
                <w:t xml:space="preserve">Colombia Compra Eficiente</w:t>
              </w:r>
            </w:hyperlink>
          </w:p>
        </w:tc>
      </w:tr>
      <w:tr>
        <w:tc>
          <w:tcPr>
            <w:tcW w:w="3979" w:type="dxa"/>
          </w:tcPr>
          <w:p>
            <w:pPr/>
            <w:r>
              <w:t xml:space="preserve">Ley 80 de 1993, art. 40, par. (adiciones hasta 50 % en SMMLV)</w:t>
            </w:r>
          </w:p>
        </w:tc>
        <w:tc>
          <w:tcPr>
            <w:tcW w:w="3781" w:type="dxa"/>
          </w:tcPr>
          <w:p>
            <w:pPr/>
            <w:r>
              <w:t xml:space="preserve">Confirmado</w:t>
            </w:r>
          </w:p>
        </w:tc>
        <w:tc>
          <w:tcPr>
            <w:tcW w:w="1600" w:type="dxa"/>
          </w:tcPr>
          <w:p>
            <w:pPr/>
            <w:hyperlink r:id="rId10" w:history="1">
              <w:r>
                <w:rPr>
                  <w:rStyle w:val="Hyperlink"/>
                </w:rPr>
                <w:t xml:space="preserve">Concepto C-451 de 2025</w:t>
              </w:r>
            </w:hyperlink>
          </w:p>
        </w:tc>
      </w:tr>
      <w:tr>
        <w:tc>
          <w:tcPr>
            <w:tcW w:w="3979" w:type="dxa"/>
          </w:tcPr>
          <w:p>
            <w:pPr/>
            <w:r>
              <w:t xml:space="preserve">Decreto 1082 de 2015, art. 2.2.1.2.3.1.14 (estabilidad mínimo 5 años)</w:t>
            </w:r>
          </w:p>
        </w:tc>
        <w:tc>
          <w:tcPr>
            <w:tcW w:w="3781" w:type="dxa"/>
          </w:tcPr>
          <w:p>
            <w:pPr/>
            <w:r>
              <w:t xml:space="preserve">Confirmado; modificado por el Decreto 399 de 2021</w:t>
            </w:r>
          </w:p>
        </w:tc>
        <w:tc>
          <w:tcPr>
            <w:tcW w:w="1600" w:type="dxa"/>
          </w:tcPr>
          <w:p>
            <w:pPr/>
            <w:hyperlink r:id="rId11" w:history="1">
              <w:r>
                <w:rPr>
                  <w:rStyle w:val="Hyperlink"/>
                </w:rPr>
                <w:t xml:space="preserve">Concepto C-335</w:t>
              </w:r>
            </w:hyperlink>
          </w:p>
        </w:tc>
      </w:tr>
      <w:tr>
        <w:tc>
          <w:tcPr>
            <w:tcW w:w="3979" w:type="dxa"/>
          </w:tcPr>
          <w:p>
            <w:pPr/>
            <w:r>
              <w:t xml:space="preserve">Amparo de salarios y prestaciones: plazo más 3 años</w:t>
            </w:r>
          </w:p>
        </w:tc>
        <w:tc>
          <w:tcPr>
            <w:tcW w:w="3781" w:type="dxa"/>
          </w:tcPr>
          <w:p>
            <w:pPr/>
            <w:r>
              <w:t xml:space="preserve">Confirmado en la práctica de aprobación de pólizas; el texto del decreto no se pudo leer</w:t>
            </w:r>
          </w:p>
        </w:tc>
        <w:tc>
          <w:tcPr>
            <w:tcW w:w="1600" w:type="dxa"/>
          </w:tcPr>
          <w:p>
            <w:pPr/>
            <w:hyperlink r:id="rId12" w:history="1">
              <w:r>
                <w:rPr>
                  <w:rStyle w:val="Hyperlink"/>
                </w:rPr>
                <w:t xml:space="preserve">Colombia Compra Eficiente</w:t>
              </w:r>
            </w:hyperlink>
          </w:p>
        </w:tc>
      </w:tr>
      <w:tr>
        <w:tc>
          <w:tcPr>
            <w:tcW w:w="3979" w:type="dxa"/>
          </w:tcPr>
          <w:p>
            <w:pPr/>
            <w:r>
              <w:t xml:space="preserve">Resolución 4272 de 2021 (trabajo en alturas)</w:t>
            </w:r>
          </w:p>
        </w:tc>
        <w:tc>
          <w:tcPr>
            <w:tcW w:w="3781" w:type="dxa"/>
          </w:tcPr>
          <w:p>
            <w:pPr/>
            <w:r>
              <w:t xml:space="preserve">Confirmado; deroga la Resolución 1409 de 2012</w:t>
            </w:r>
          </w:p>
        </w:tc>
        <w:tc>
          <w:tcPr>
            <w:tcW w:w="1600" w:type="dxa"/>
          </w:tcPr>
          <w:p>
            <w:pPr/>
            <w:hyperlink r:id="rId13" w:history="1">
              <w:r>
                <w:rPr>
                  <w:rStyle w:val="Hyperlink"/>
                </w:rPr>
                <w:t xml:space="preserve">ABC de Colmena Seguros</w:t>
              </w:r>
            </w:hyperlink>
          </w:p>
        </w:tc>
      </w:tr>
      <w:tr>
        <w:tc>
          <w:tcPr>
            <w:tcW w:w="3979" w:type="dxa"/>
          </w:tcPr>
          <w:p>
            <w:pPr/>
            <w:r>
              <w:t xml:space="preserve">Resolución 1257 de 2021 (RCD)</w:t>
            </w:r>
          </w:p>
        </w:tc>
        <w:tc>
          <w:tcPr>
            <w:tcW w:w="3781" w:type="dxa"/>
          </w:tcPr>
          <w:p>
            <w:pPr/>
            <w:r>
              <w:t xml:space="preserve">Precisado: modifica la Resolución 0472 de 2017</w:t>
            </w:r>
          </w:p>
        </w:tc>
        <w:tc>
          <w:tcPr>
            <w:tcW w:w="1600" w:type="dxa"/>
          </w:tcPr>
          <w:p>
            <w:pPr/>
            <w:hyperlink r:id="rId14" w:history="1">
              <w:r>
                <w:rPr>
                  <w:rStyle w:val="Hyperlink"/>
                </w:rPr>
                <w:t xml:space="preserve">Normograma CRA</w:t>
              </w:r>
            </w:hyperlink>
          </w:p>
        </w:tc>
      </w:tr>
      <w:tr>
        <w:tc>
          <w:tcPr>
            <w:tcW w:w="3979" w:type="dxa"/>
          </w:tcPr>
          <w:p>
            <w:pPr/>
            <w:r>
              <w:t xml:space="preserve">Resolución 0501 de 2017 (reglamento técnico de tuberías)</w:t>
            </w:r>
          </w:p>
        </w:tc>
        <w:tc>
          <w:tcPr>
            <w:tcW w:w="3781" w:type="dxa"/>
          </w:tcPr>
          <w:p>
            <w:pPr/>
            <w:r>
              <w:t xml:space="preserve">Confirmado; rige desde 2019 (Resolución 0115 de 2018)</w:t>
            </w:r>
          </w:p>
        </w:tc>
        <w:tc>
          <w:tcPr>
            <w:tcW w:w="1600" w:type="dxa"/>
          </w:tcPr>
          <w:p>
            <w:pPr/>
            <w:hyperlink r:id="rId15" w:history="1">
              <w:r>
                <w:rPr>
                  <w:rStyle w:val="Hyperlink"/>
                </w:rPr>
                <w:t xml:space="preserve">Normograma CRA</w:t>
              </w:r>
            </w:hyperlink>
          </w:p>
        </w:tc>
      </w:tr>
      <w:tr>
        <w:tc>
          <w:tcPr>
            <w:tcW w:w="3979" w:type="dxa"/>
          </w:tcPr>
          <w:p>
            <w:pPr/>
            <w:r>
              <w:t xml:space="preserve">Ley 1185 de 2008 y Decreto 138 de 2019 (arqueología preventiva)</w:t>
            </w:r>
          </w:p>
        </w:tc>
        <w:tc>
          <w:tcPr>
            <w:tcW w:w="3781" w:type="dxa"/>
          </w:tcPr>
          <w:p>
            <w:pPr/>
            <w:r>
              <w:t xml:space="preserve">Confirmado</w:t>
            </w:r>
          </w:p>
        </w:tc>
        <w:tc>
          <w:tcPr>
            <w:tcW w:w="1600" w:type="dxa"/>
          </w:tcPr>
          <w:p>
            <w:pPr/>
            <w:hyperlink r:id="rId16" w:history="1">
              <w:r>
                <w:rPr>
                  <w:rStyle w:val="Hyperlink"/>
                </w:rPr>
                <w:t xml:space="preserve">ANLA</w:t>
              </w:r>
            </w:hyperlink>
          </w:p>
        </w:tc>
      </w:tr>
      <w:tr>
        <w:tc>
          <w:tcPr>
            <w:tcW w:w="3979" w:type="dxa"/>
          </w:tcPr>
          <w:p>
            <w:pPr/>
            <w:r>
              <w:t xml:space="preserve">Ley 1796 de 2016 (supervisión técnica sobre 2.000 m²; certificado técnico de ocupación, art. 6)</w:t>
            </w:r>
          </w:p>
        </w:tc>
        <w:tc>
          <w:tcPr>
            <w:tcW w:w="3781" w:type="dxa"/>
          </w:tcPr>
          <w:p>
            <w:pPr/>
            <w:r>
              <w:t xml:space="preserve">Confirmado</w:t>
            </w:r>
          </w:p>
        </w:tc>
        <w:tc>
          <w:tcPr>
            <w:tcW w:w="1600" w:type="dxa"/>
          </w:tcPr>
          <w:p>
            <w:pPr/>
            <w:hyperlink r:id="rId17" w:history="1">
              <w:r>
                <w:rPr>
                  <w:rStyle w:val="Hyperlink"/>
                </w:rPr>
                <w:t xml:space="preserve">Normograma CRA</w:t>
              </w:r>
            </w:hyperlink>
          </w:p>
        </w:tc>
      </w:tr>
      <w:tr>
        <w:tc>
          <w:tcPr>
            <w:tcW w:w="3979" w:type="dxa"/>
          </w:tcPr>
          <w:p>
            <w:pPr/>
            <w:r>
              <w:t xml:space="preserve">Decreto 1077 de 2015 (prórroga de licencia, 30 días hábiles)</w:t>
            </w:r>
          </w:p>
        </w:tc>
        <w:tc>
          <w:tcPr>
            <w:tcW w:w="3781" w:type="dxa"/>
          </w:tcPr>
          <w:p>
            <w:pPr/>
            <w:r>
              <w:t xml:space="preserve">Confirmado; precisado que lo modificó el Decreto 1783 de 2021</w:t>
            </w:r>
          </w:p>
        </w:tc>
        <w:tc>
          <w:tcPr>
            <w:tcW w:w="1600" w:type="dxa"/>
          </w:tcPr>
          <w:p>
            <w:pPr/>
            <w:hyperlink r:id="rId18" w:history="1">
              <w:r>
                <w:rPr>
                  <w:rStyle w:val="Hyperlink"/>
                </w:rPr>
                <w:t xml:space="preserve">Curaduría Urbana 3 de Bogotá</w:t>
              </w:r>
            </w:hyperlink>
          </w:p>
        </w:tc>
      </w:tr>
      <w:tr>
        <w:tc>
          <w:tcPr>
            <w:tcW w:w="3979" w:type="dxa"/>
          </w:tcPr>
          <w:p>
            <w:pPr/>
            <w:r>
              <w:t xml:space="preserve">Reporte de accidentes en 2 días hábiles e investigación en 15 días</w:t>
            </w:r>
          </w:p>
        </w:tc>
        <w:tc>
          <w:tcPr>
            <w:tcW w:w="3781" w:type="dxa"/>
          </w:tcPr>
          <w:p>
            <w:pPr/>
            <w:r>
              <w:t xml:space="preserve">Precisado: el plazo de reporte viene del art. 62 del Decreto 1295 de 1994; la Resolución 156 de 2005 fija el formato y la 1401 de 2007 la investigación</w:t>
            </w:r>
          </w:p>
        </w:tc>
        <w:tc>
          <w:tcPr>
            <w:tcW w:w="1600" w:type="dxa"/>
          </w:tcPr>
          <w:p>
            <w:pPr/>
            <w:hyperlink r:id="rId19" w:history="1">
              <w:r>
                <w:rPr>
                  <w:rStyle w:val="Hyperlink"/>
                </w:rPr>
                <w:t xml:space="preserve">Gobierno de Bogotá</w:t>
              </w:r>
            </w:hyperlink>
          </w:p>
        </w:tc>
      </w:tr>
      <w:tr>
        <w:tc>
          <w:tcPr>
            <w:tcW w:w="3979" w:type="dxa"/>
          </w:tcPr>
          <w:p>
            <w:pPr/>
            <w:r>
              <w:t xml:space="preserve">Ley 1116 de 2006 (reorganización)</w:t>
            </w:r>
          </w:p>
        </w:tc>
        <w:tc>
          <w:tcPr>
            <w:tcW w:w="3781" w:type="dxa"/>
          </w:tcPr>
          <w:p>
            <w:pPr/>
            <w:r>
              <w:t xml:space="preserve">Precisado: se agregó el art. 21, que impide la terminación unilateral y la caducidad por el solo inicio del proceso</w:t>
            </w:r>
          </w:p>
        </w:tc>
        <w:tc>
          <w:tcPr>
            <w:tcW w:w="1600" w:type="dxa"/>
          </w:tcPr>
          <w:p>
            <w:pPr/>
            <w:hyperlink r:id="rId20" w:history="1">
              <w:r>
                <w:rPr>
                  <w:rStyle w:val="Hyperlink"/>
                </w:rPr>
                <w:t xml:space="preserve">Sentencia C-620 de 2012</w:t>
              </w:r>
            </w:hyperlink>
          </w:p>
        </w:tc>
      </w:tr>
      <w:tr>
        <w:tc>
          <w:tcPr>
            <w:tcW w:w="3979" w:type="dxa"/>
          </w:tcPr>
          <w:p>
            <w:pPr/>
            <w:r>
              <w:t xml:space="preserve">Ley 1508 de 2012, art. 5 (retribución en APP)</w:t>
            </w:r>
          </w:p>
        </w:tc>
        <w:tc>
          <w:tcPr>
            <w:tcW w:w="3781" w:type="dxa"/>
          </w:tcPr>
          <w:p>
            <w:pPr/>
            <w:r>
              <w:t xml:space="preserve">Confirmado; modificado por la Ley 1753 de 2015</w:t>
            </w:r>
          </w:p>
        </w:tc>
        <w:tc>
          <w:tcPr>
            <w:tcW w:w="1600" w:type="dxa"/>
          </w:tcPr>
          <w:p>
            <w:pPr/>
            <w:hyperlink r:id="rId21" w:history="1">
              <w:r>
                <w:rPr>
                  <w:rStyle w:val="Hyperlink"/>
                </w:rPr>
                <w:t xml:space="preserve">Decreto 1278 de 2021</w:t>
              </w:r>
            </w:hyperlink>
          </w:p>
        </w:tc>
      </w:tr>
      <w:tr>
        <w:tc>
          <w:tcPr>
            <w:tcW w:w="3979" w:type="dxa"/>
          </w:tcPr>
          <w:p>
            <w:pPr/>
            <w:r>
              <w:t xml:space="preserve">Ley 1333 de 2009 (sancionatorio ambiental)</w:t>
            </w:r>
          </w:p>
        </w:tc>
        <w:tc>
          <w:tcPr>
            <w:tcW w:w="3781" w:type="dxa"/>
          </w:tcPr>
          <w:p>
            <w:pPr/>
            <w:r>
              <w:t xml:space="preserve">Precisado: reformada por la Ley 2387 de 2024</w:t>
            </w:r>
          </w:p>
        </w:tc>
        <w:tc>
          <w:tcPr>
            <w:tcW w:w="1600" w:type="dxa"/>
          </w:tcPr>
          <w:p>
            <w:pPr/>
            <w:hyperlink r:id="rId22" w:history="1">
              <w:r>
                <w:rPr>
                  <w:rStyle w:val="Hyperlink"/>
                </w:rPr>
                <w:t xml:space="preserve">ANLA</w:t>
              </w:r>
            </w:hyperlink>
          </w:p>
        </w:tc>
      </w:tr>
    </w:tbl>
    <w:p>
      <w:pPr/>
      <w:r>
        <w:t xml:space="preserve">No se pudieron verificar en línea y se citan de memoria: NSR-10 C.5.6, Resolución 0330 de 2017 (RAS), Resolución 0631 de 2015 (vertimientos), CCP-14, artículos 17 y 23 de la Ley 1150 de 2007, artículo 50 de la Ley 789 de 2002 y artículo 2060 del Código Civil. Revíselas en el texto oficial antes de una evaluación formal.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1"/>
    <w:lvlOverride w:ilvl="0">
      <w:startOverride w:val="6"/>
    </w:lvlOverride>
  </w:num>
  <w:num w:numId="10">
    <w:abstractNumId w:val="0"/>
  </w:num>
  <w:num w:numId="11">
    <w:abstractNumId w:val="0"/>
  </w:num>
  <w:num w:numId="12">
    <w:abstractNumId w:val="0"/>
  </w:num>
  <w:num w:numId="13">
    <w:abstractNumId w:val="1"/>
    <w:lvlOverride w:ilvl="0">
      <w:startOverride w:val="9"/>
    </w:lvlOverride>
  </w:num>
  <w:num w:numId="14">
    <w:abstractNumId w:val="0"/>
  </w:num>
  <w:num w:numId="15">
    <w:abstractNumId w:val="0"/>
  </w:num>
  <w:num w:numId="16">
    <w:abstractNumId w:val="0"/>
  </w:num>
  <w:num w:numId="17">
    <w:abstractNumId w:val="0"/>
  </w:num>
  <w:num w:numId="18">
    <w:abstractNumId w:val="1"/>
    <w:lvlOverride w:ilvl="0">
      <w:startOverride w:val="13"/>
    </w:lvlOverride>
  </w:num>
  <w:num w:numId="19">
    <w:abstractNumId w:val="0"/>
  </w:num>
  <w:num w:numId="20">
    <w:abstractNumId w:val="0"/>
  </w:num>
  <w:num w:numId="21">
    <w:abstractNumId w:val="0"/>
  </w:num>
  <w:num w:numId="22">
    <w:abstractNumId w:val="0"/>
  </w:num>
  <w:num w:numId="23">
    <w:abstractNumId w:val="1"/>
    <w:lvlOverride w:ilvl="0">
      <w:startOverride w:val="17"/>
    </w:lvlOverride>
  </w:num>
  <w:num w:numId="24">
    <w:abstractNumId w:val="0"/>
  </w:num>
  <w:num w:numId="25">
    <w:abstractNumId w:val="0"/>
  </w:num>
  <w:num w:numId="26">
    <w:abstractNumId w:val="0"/>
  </w:num>
  <w:num w:numId="27">
    <w:abstractNumId w:val="0"/>
  </w:num>
  <w:num w:numId="28">
    <w:abstractNumId w:val="0"/>
  </w:num>
  <w:num w:numId="29">
    <w:abstractNumId w:val="1"/>
    <w:lvlOverride w:ilvl="0">
      <w:startOverride w:val="22"/>
    </w:lvlOverride>
  </w:num>
  <w:num w:numId="30">
    <w:abstractNumId w:val="0"/>
  </w:num>
  <w:num w:numId="31">
    <w:abstractNumId w:val="0"/>
  </w:num>
  <w:num w:numId="32">
    <w:abstractNumId w:val="0"/>
  </w:num>
  <w:num w:numId="33">
    <w:abstractNumId w:val="0"/>
  </w:num>
  <w:num w:numId="34">
    <w:abstractNumId w:val="1"/>
    <w:lvlOverride w:ilvl="0">
      <w:startOverride w:val="1"/>
    </w:lvlOverride>
  </w:num>
  <w:num w:numId="35">
    <w:abstractNumId w:val="1"/>
    <w:lvlOverride w:ilvl="0">
      <w:startOverride w:val="1"/>
    </w:lvlOverride>
  </w:num>
  <w:num w:numId="36">
    <w:abstractNumId w:val="1"/>
    <w:lvlOverride w:ilvl="0">
      <w:startOverride w:val="1"/>
    </w:lvlOverride>
  </w:num>
  <w:num w:numId="37">
    <w:abstractNumId w:val="1"/>
    <w:lvlOverride w:ilvl="0">
      <w:startOverride w:val="1"/>
    </w:lvlOverride>
  </w:num>
  <w:num w:numId="38">
    <w:abstractNumId w:val="1"/>
    <w:lvlOverride w:ilvl="0">
      <w:startOverride w:val="1"/>
    </w:lvlOverride>
  </w:num>
  <w:num w:numId="39">
    <w:abstractNumId w:val="1"/>
    <w:lvlOverride w:ilvl="0">
      <w:startOverride w:val="1"/>
    </w:lvlOverride>
  </w:num>
  <w:num w:numId="40">
    <w:abstractNumId w:val="0"/>
  </w:num>
  <w:num w:numId="41">
    <w:abstractNumId w:val="1"/>
    <w:lvlOverride w:ilvl="0">
      <w:startOverride w:val="1"/>
    </w:lvlOverride>
  </w:num>
  <w:num w:numId="42">
    <w:abstractNumId w:val="0"/>
  </w:num>
  <w:num w:numId="43">
    <w:abstractNumId w:val="1"/>
    <w:lvlOverride w:ilvl="0">
      <w:startOverride w:val="1"/>
    </w:lvlOverride>
  </w:num>
  <w:num w:numId="44">
    <w:abstractNumId w:val="0"/>
  </w:num>
  <w:num w:numId="45">
    <w:abstractNumId w:val="1"/>
    <w:lvlOverride w:ilvl="0">
      <w:startOverride w:val="1"/>
    </w:lvlOverride>
  </w:num>
  <w:num w:numId="46">
    <w:abstractNumId w:val="1"/>
    <w:lvlOverride w:ilvl="0">
      <w:startOverride w:val="1"/>
    </w:lvlOverride>
  </w:num>
  <w:num w:numId="47">
    <w:abstractNumId w:val="1"/>
    <w:lvlOverride w:ilvl="0">
      <w:startOverride w:val="1"/>
    </w:lvlOverride>
  </w:num>
  <w:num w:numId="48">
    <w:abstractNumId w:val="1"/>
    <w:lvlOverride w:ilvl="0">
      <w:startOverride w:val="1"/>
    </w:lvlOverride>
  </w:num>
  <w:num w:numId="49">
    <w:abstractNumId w:val="1"/>
    <w:lvlOverride w:ilvl="0">
      <w:startOverride w:val="1"/>
    </w:lvlOverride>
  </w:num>
  <w:num w:numId="50">
    <w:abstractNumId w:val="1"/>
    <w:lvlOverride w:ilvl="0">
      <w:startOverride w:val="1"/>
    </w:lvlOverride>
  </w:num>
  <w:num w:numId="51">
    <w:abstractNumId w:val="1"/>
    <w:lvlOverride w:ilvl="0">
      <w:startOverride w:val="1"/>
    </w:lvlOverride>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relatoria.colombiacompra.gov.co/conceptos/c-839-de-2025/" TargetMode="External"/><Relationship Id="rId5" Type="http://schemas.openxmlformats.org/officeDocument/2006/relationships/hyperlink" Target="https://idpc.gov.co/Transparencia/Control%20Interno/2023/Cartelera/AUTO_ARCHIVO_DEFI_AUTO_007-2023_EXP_IDPC_001-2020.pdf" TargetMode="External"/><Relationship Id="rId6" Type="http://schemas.openxmlformats.org/officeDocument/2006/relationships/hyperlink" Target="https://relatoria.colombiacompra.gov.co/wp-content/uploads/2025/07/C-845.docx" TargetMode="External"/><Relationship Id="rId7" Type="http://schemas.openxmlformats.org/officeDocument/2006/relationships/hyperlink" Target="https://ambitojuridico.com/sites/default/files/BancoMedios/Archivos/sent-c-512-13.doc" TargetMode="External"/><Relationship Id="rId8" Type="http://schemas.openxmlformats.org/officeDocument/2006/relationships/hyperlink" Target="https://relatoria.colombiacompra.gov.co/conceptos/c-487-de-2024/" TargetMode="External"/><Relationship Id="rId9" Type="http://schemas.openxmlformats.org/officeDocument/2006/relationships/hyperlink" Target="https://relatoria.colombiacompra.gov.co/wp-content/uploads/2024/11/C-713.docx" TargetMode="External"/><Relationship Id="rId10" Type="http://schemas.openxmlformats.org/officeDocument/2006/relationships/hyperlink" Target="https://relatoria.colombiacompra.gov.co/wp-content/uploads/2025/05/C-451.docx" TargetMode="External"/><Relationship Id="rId11" Type="http://schemas.openxmlformats.org/officeDocument/2006/relationships/hyperlink" Target="https://relatoria.colombiacompra.gov.co/wp-content/uploads/2024/05/1655840029175-C-335.docx" TargetMode="External"/><Relationship Id="rId12" Type="http://schemas.openxmlformats.org/officeDocument/2006/relationships/hyperlink" Target="https://operaciones.colombiacompra.gov.co/sites/cce_public/files/documentos_adicionales_oc/la_secretaria_general_de_colombia_compra_eficiente.pdf" TargetMode="External"/><Relationship Id="rId13" Type="http://schemas.openxmlformats.org/officeDocument/2006/relationships/hyperlink" Target="https://colmenaseguros.com/documents/d/guest/abece-resolucion-4272-de-2021" TargetMode="External"/><Relationship Id="rId14" Type="http://schemas.openxmlformats.org/officeDocument/2006/relationships/hyperlink" Target="https://normas.cra.gov.co/gestor/docs/resolucion_minambienteds_1257_2021.htm" TargetMode="External"/><Relationship Id="rId15" Type="http://schemas.openxmlformats.org/officeDocument/2006/relationships/hyperlink" Target="https://normas.cra.gov.co/gestor/docs/resolucion_minviviendact_0501_2017.htm" TargetMode="External"/><Relationship Id="rId16" Type="http://schemas.openxmlformats.org/officeDocument/2006/relationships/hyperlink" Target="https://www.anla.gov.co/wanla/eureka/normativa/decretos/decreto-reglamentario-138-de-2019-patrimonio-arqueologico-programa-de-arqueologia-preventiva-pap-instituto-colombiano-de-antropologia-e-historia-icanh" TargetMode="External"/><Relationship Id="rId17" Type="http://schemas.openxmlformats.org/officeDocument/2006/relationships/hyperlink" Target="https://normas.cra.gov.co/gestor/docs/ley_1796_2016.htm" TargetMode="External"/><Relationship Id="rId18" Type="http://schemas.openxmlformats.org/officeDocument/2006/relationships/hyperlink" Target="https://curaduria3bogota.com/wp-content/uploads/2025/11/RES-11001-3-25-2771.pdf" TargetMode="External"/><Relationship Id="rId19" Type="http://schemas.openxmlformats.org/officeDocument/2006/relationships/hyperlink" Target="https://gaia.gobiernobogota.gov.co/sites/default/files/sig/procedimientos/gco-gth-p005_v5.pdf" TargetMode="External"/><Relationship Id="rId20" Type="http://schemas.openxmlformats.org/officeDocument/2006/relationships/hyperlink" Target="https://www.corteconstitucional.gov.co/relatoria/2012/C-620-12.htm" TargetMode="External"/><Relationship Id="rId21" Type="http://schemas.openxmlformats.org/officeDocument/2006/relationships/hyperlink" Target="https://normograma.supersalud.gov.co/compilacion/docs/decreto_1278_2021.htm" TargetMode="External"/><Relationship Id="rId22" Type="http://schemas.openxmlformats.org/officeDocument/2006/relationships/hyperlink" Target="https://www.anla.gov.co/wanla/eureka/normativa/leyes/ley-2387-de-2024-procedimiento-sancionatorio-ambiental"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Examen de controles de interventoría en obra pública</dc:title>
  <dc:description>Claude Docs node/18d9cef5-a8d3@28 docx-w7</dc:description>
  <cp:revision>28</cp:revision>
</cp:coreProperties>
</file>