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0"/>
          <w:szCs w:val="30"/>
        </w:rPr>
        <w:t xml:space="preserve">JUSTIFICACIÓN TÉCNICA</w:t>
      </w:r>
    </w:p>
    <w:p>
      <w:pPr>
        <w:spacing w:after="80"/>
        <w:jc w:val="center"/>
      </w:pPr>
      <w:r>
        <w:rPr>
          <w:b/>
          <w:bCs/>
          <w:sz w:val="26"/>
          <w:szCs w:val="26"/>
        </w:rPr>
        <w:t xml:space="preserve">Las innovaciones generadas en la gestión empresarial son productos Tipo A</w:t>
      </w:r>
    </w:p>
    <w:p>
      <w:pPr>
        <w:spacing w:after="240"/>
        <w:jc w:val="center"/>
      </w:pPr>
      <w:r>
        <w:rPr>
          <w:color w:val="555555"/>
          <w:sz w:val="20"/>
          <w:szCs w:val="20"/>
        </w:rPr>
        <w:t xml:space="preserve">Fundamento: Anexo 1 – Modelo de Medición de Grupos e Investigadores, Convocatoria 957 de 2024 (Minciencias, documento M601PR04G01, versión 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Campo</w:t>
            </w:r>
          </w:p>
        </w:tc>
        <w:tc>
          <w:tcPr>
            <w:tcW w:type="dxa" w:w="67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Detalle</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Investigador</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Ángel Arturo Rincón Suárez</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Productos objeto</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Siete (7) innovaciones generadas en la gestión empresarial, registradas en CvLAC en el ámbito organizacional</w:t>
            </w:r>
          </w:p>
        </w:tc>
      </w:tr>
      <w:tr>
        <w:trPr>
          <w:tblHeader w:val="false"/>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Clasificación que se sustenta</w:t>
            </w:r>
          </w:p>
        </w:tc>
        <w:tc>
          <w:tcPr>
            <w:tcW w:type="dxa" w:w="67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Productos de resultados de actividades de desarrollo tecnológico e innovación – Tipo A (IG_A1 / IG_A2)</w:t>
            </w:r>
          </w:p>
        </w:tc>
      </w:tr>
    </w:tbl>
    <w:p>
      <w:pPr>
        <w:pStyle w:val="Heading1"/>
        <w:spacing w:after="160" w:before="320"/>
      </w:pPr>
      <w:r>
        <w:t xml:space="preserve">1. 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EAF0F8" w:color="auto" w:val="clear"/>
            <w:tcMar>
              <w:top w:type="dxa" w:w="160"/>
              <w:left w:type="dxa" w:w="220"/>
              <w:bottom w:type="dxa" w:w="160"/>
              <w:right w:type="dxa" w:w="220"/>
            </w:tcMar>
          </w:tcPr>
          <w:p>
            <w:pPr>
              <w:spacing w:after="0" w:line="300"/>
              <w:jc w:val="both"/>
            </w:pPr>
            <w:r>
              <w:rPr>
                <w:b/>
                <w:bCs/>
              </w:rPr>
              <w:t xml:space="preserve">Las innovaciones generadas en la gestión empresarial de ámbito organizacional son, por disposición expresa del Anexo 1, productos Tipo A. </w:t>
            </w:r>
            <w:r>
              <w:t xml:space="preserve">No se trata de una interpretación ni de una equivalencia: el numeral 3.7.2 del Anexo las enumera literalmente en el listado de Productos Tipo A (códigos IG_A1 e IG_A2), la Tabla XIII define el criterio de calidad que las ubica allí y el modelo les asigna un peso global igual al de las empresas de base tecnológica y el secreto empresarial.</w:t>
            </w:r>
          </w:p>
        </w:tc>
      </w:tr>
    </w:tbl>
    <w:p>
      <w:pPr>
        <w:pStyle w:val="Heading1"/>
        <w:spacing w:after="160" w:before="320"/>
      </w:pPr>
      <w:r>
        <w:t xml:space="preserve">2. Primer argumento: el Anexo 1 las incluye de forma expresa en la lista de Productos Tipo A</w:t>
      </w:r>
    </w:p>
    <w:p>
      <w:pPr>
        <w:spacing w:after="140" w:line="300"/>
        <w:jc w:val="both"/>
      </w:pPr>
      <w:r>
        <w:t xml:space="preserve">El numeral 3.7 del Anexo 1 organiza la producción en seis clases “teniendo en cuenta su visibilidad e impacto”. El numeral </w:t>
      </w:r>
      <w:r>
        <w:rPr>
          <w:b/>
          <w:bCs/>
        </w:rPr>
        <w:t xml:space="preserve">3.7.2 “Productos Tipo A”</w:t>
      </w:r>
      <w:r>
        <w:t xml:space="preserve"> (pág. 120) contiene, textualmente, los siguientes ítems:</w:t>
      </w:r>
    </w:p>
    <w:p>
      <w:pPr>
        <w:pBdr>
          <w:left w:val="single" w:color="1F3864" w:sz="18" w:space="8"/>
        </w:pBdr>
        <w:spacing w:after="160" w:line="290"/>
        <w:ind w:left="567" w:right="567"/>
        <w:jc w:val="both"/>
      </w:pPr>
      <w:r>
        <w:rPr>
          <w:i/>
          <w:iCs/>
        </w:rPr>
        <w:t xml:space="preserve">“IG_A1, Número de Innovaciones generadas en la gestión empresarial vinculados al Grupo con Calidad A1.”</w:t>
      </w:r>
      <w:r>
        <w:rPr>
          <w:color w:val="555555"/>
          <w:sz w:val="18"/>
          <w:szCs w:val="18"/>
        </w:rPr>
        <w:t xml:space="preserve">  (Anexo 1, num. 3.7.2, pág. 120)</w:t>
      </w:r>
    </w:p>
    <w:p>
      <w:pPr>
        <w:pBdr>
          <w:left w:val="single" w:color="1F3864" w:sz="18" w:space="8"/>
        </w:pBdr>
        <w:spacing w:after="160" w:line="290"/>
        <w:ind w:left="567" w:right="567"/>
        <w:jc w:val="both"/>
      </w:pPr>
      <w:r>
        <w:rPr>
          <w:i/>
          <w:iCs/>
        </w:rPr>
        <w:t xml:space="preserve">“IG_A2, Número de Innovaciones generadas en la gestión empresarial vinculados al Grupo con Calidad A2.”</w:t>
      </w:r>
      <w:r>
        <w:rPr>
          <w:color w:val="555555"/>
          <w:sz w:val="18"/>
          <w:szCs w:val="18"/>
        </w:rPr>
        <w:t xml:space="preserve">  (Anexo 1, num. 3.7.2, pág. 120)</w:t>
      </w:r>
    </w:p>
    <w:p>
      <w:pPr>
        <w:spacing w:after="140" w:line="300"/>
        <w:jc w:val="both"/>
      </w:pPr>
      <w:r>
        <w:t xml:space="preserve">La norma es clara y cerrada: si el producto es una innovación en gestión empresarial con calidad A1 o A2, </w:t>
      </w:r>
      <w:r>
        <w:rPr>
          <w:b/>
          <w:bCs/>
        </w:rPr>
        <w:t xml:space="preserve">es Tipo A</w:t>
      </w:r>
      <w:r>
        <w:t xml:space="preserve">. En ese mismo listado figuran productos de reconocido valor, con los que las innovaciones IG_A comparten categoría:</w:t>
      </w:r>
    </w:p>
    <w:p>
      <w:pPr>
        <w:pStyle w:val="ListParagraph"/>
        <w:numPr>
          <w:ilvl w:val="0"/>
          <w:numId w:val="2"/>
        </w:numPr>
        <w:spacing w:after="80" w:line="290"/>
        <w:jc w:val="both"/>
      </w:pPr>
      <w:r>
        <w:t xml:space="preserve">Artículos de investigación en revistas de calidad B y C (ART_B, ART_C).</w:t>
      </w:r>
    </w:p>
    <w:p>
      <w:pPr>
        <w:pStyle w:val="ListParagraph"/>
        <w:numPr>
          <w:ilvl w:val="0"/>
          <w:numId w:val="2"/>
        </w:numPr>
        <w:spacing w:after="80" w:line="290"/>
        <w:jc w:val="both"/>
      </w:pPr>
      <w:r>
        <w:t xml:space="preserve">Libros y capítulos resultado de investigación de calidad B (LIB_B, CAP_LIB_B).</w:t>
      </w:r>
    </w:p>
    <w:p>
      <w:pPr>
        <w:pStyle w:val="ListParagraph"/>
        <w:numPr>
          <w:ilvl w:val="0"/>
          <w:numId w:val="2"/>
        </w:numPr>
        <w:spacing w:after="80" w:line="290"/>
        <w:jc w:val="both"/>
      </w:pPr>
      <w:r>
        <w:t xml:space="preserve">Patentes de invención y modelos de utilidad A3 y A4 (PA3, PA4, MA3, MA4).</w:t>
      </w:r>
    </w:p>
    <w:p>
      <w:pPr>
        <w:pStyle w:val="ListParagraph"/>
        <w:numPr>
          <w:ilvl w:val="0"/>
          <w:numId w:val="2"/>
        </w:numPr>
        <w:spacing w:after="80" w:line="290"/>
        <w:jc w:val="both"/>
      </w:pPr>
      <w:r>
        <w:t xml:space="preserve">Diseños industriales, prototipos industriales, plantas piloto y secreto empresarial (DI_A, PI, PP, SE).</w:t>
      </w:r>
    </w:p>
    <w:p>
      <w:pPr>
        <w:pStyle w:val="ListParagraph"/>
        <w:numPr>
          <w:ilvl w:val="0"/>
          <w:numId w:val="2"/>
        </w:numPr>
        <w:spacing w:after="80" w:line="290"/>
        <w:jc w:val="both"/>
      </w:pPr>
      <w:r>
        <w:t xml:space="preserve">Empresas de base tecnológica tipo spin-off (EBT_A).</w:t>
      </w:r>
    </w:p>
    <w:p>
      <w:pPr>
        <w:spacing w:after="140" w:line="300"/>
        <w:jc w:val="both"/>
      </w:pPr>
      <w:r>
        <w:t xml:space="preserve">En consecuencia, negar el carácter Tipo A de una innovación organizacional debidamente soportada equivaldría a desconocer el texto literal del modelo de medición.</w:t>
      </w:r>
    </w:p>
    <w:p>
      <w:pPr>
        <w:pStyle w:val="Heading1"/>
        <w:spacing w:after="160" w:before="320"/>
      </w:pPr>
      <w:r>
        <w:t xml:space="preserve">3. Segundo argumento: es un producto de desarrollo tecnológico e innovación</w:t>
      </w:r>
    </w:p>
    <w:p>
      <w:pPr>
        <w:spacing w:after="140" w:line="300"/>
        <w:jc w:val="both"/>
      </w:pPr>
      <w:r>
        <w:t xml:space="preserve">El Anexo 1 ubica estas innovaciones en el numeral </w:t>
      </w:r>
      <w:r>
        <w:rPr>
          <w:b/>
          <w:bCs/>
        </w:rPr>
        <w:t xml:space="preserve">2.2.2.2.5</w:t>
      </w:r>
      <w:r>
        <w:t xml:space="preserve">, dentro de los productos empresariales que hacen parte de los </w:t>
      </w:r>
      <w:r>
        <w:rPr>
          <w:b/>
          <w:bCs/>
        </w:rPr>
        <w:t xml:space="preserve">productos resultados de actividades de desarrollo tecnológico e innovación</w:t>
      </w:r>
      <w:r>
        <w:t xml:space="preserve">. Su definición es:</w:t>
      </w:r>
    </w:p>
    <w:p>
      <w:pPr>
        <w:pBdr>
          <w:left w:val="single" w:color="1F3864" w:sz="18" w:space="8"/>
        </w:pBdr>
        <w:spacing w:after="160" w:line="290"/>
        <w:ind w:left="567" w:right="567"/>
        <w:jc w:val="both"/>
      </w:pPr>
      <w:r>
        <w:rPr>
          <w:i/>
          <w:iCs/>
        </w:rPr>
        <w:t xml:space="preserve">“Son los métodos, productos y herramientas aplicadas en las empresas –ya sea en el ámbito organizacional o comercial– que constituyen o se convierten en un elemento novedoso que genera beneficios tangibles para la empresa. Para el modelo de medición, se entiende, también, que son innovaciones generadas en los grupos de investigación en el marco de un proyecto aprobado por convocatorias del SNCTI y que poseen certificado de su implementación, en una o varias empresas.”</w:t>
      </w:r>
      <w:r>
        <w:rPr>
          <w:color w:val="555555"/>
          <w:sz w:val="18"/>
          <w:szCs w:val="18"/>
        </w:rPr>
        <w:t xml:space="preserve">  (Anexo 1, num. 2.2.2.2.5, pág. 75)</w:t>
      </w:r>
    </w:p>
    <w:p>
      <w:pPr>
        <w:spacing w:after="140" w:line="300"/>
        <w:jc w:val="both"/>
      </w:pPr>
      <w:r>
        <w:t xml:space="preserve">Esta pertenencia es decisiva porque los requisitos de reconocimiento de investigadores no exigen exclusivamente artículos: exigen productos “</w:t>
      </w:r>
      <w:r>
        <w:rPr>
          <w:i/>
          <w:iCs/>
        </w:rPr>
        <w:t xml:space="preserve">de nuevo conocimiento o de resultados de actividades de desarrollo tecnológico e innovación tipo A</w:t>
      </w:r>
      <w:r>
        <w:t xml:space="preserve">”. El modelo pone en el mismo plano ambas tipologías, de modo que una innovación IG_A cumple el requisito con el mismo valor que un artículo de calidad B o C.</w:t>
      </w:r>
    </w:p>
    <w:p>
      <w:pPr>
        <w:pStyle w:val="Heading1"/>
        <w:spacing w:after="160" w:before="320"/>
      </w:pPr>
      <w:r>
        <w:t xml:space="preserve">4. Tercer argumento: el criterio de calidad depende del ámbito organizacional</w:t>
      </w:r>
    </w:p>
    <w:p>
      <w:pPr>
        <w:spacing w:after="140" w:line="300"/>
        <w:jc w:val="both"/>
      </w:pPr>
      <w:r>
        <w:t xml:space="preserve">La Tabla XIII del Anexo 1 (págs. 149–150) establece los requerimientos de calidad y los pesos relativos de este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260"/>
        <w:gridCol w:w="1300"/>
        <w:gridCol w:w="1500"/>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Código</w:t>
            </w:r>
          </w:p>
        </w:tc>
        <w:tc>
          <w:tcPr>
            <w:tcW w:type="dxa" w:w="52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Requerimiento de calidad</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Peso relativo</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Clase</w:t>
            </w:r>
          </w:p>
        </w:tc>
      </w:tr>
      <w:tr>
        <w:trPr>
          <w:tblHeader w:val="false"/>
        </w:trPr>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bCs/>
                <w:sz w:val="19"/>
                <w:szCs w:val="19"/>
              </w:rPr>
              <w:t xml:space="preserve">IG_A1</w:t>
            </w:r>
          </w:p>
        </w:tc>
        <w:tc>
          <w:tcPr>
            <w:tcW w:type="dxa" w:w="526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val="false"/>
                <w:bCs w:val="false"/>
                <w:sz w:val="19"/>
                <w:szCs w:val="19"/>
              </w:rPr>
              <w:t xml:space="preserve">Innovaciones en el ámbito organizacional en grandes empresas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val="false"/>
                <w:bCs w:val="false"/>
                <w:sz w:val="19"/>
                <w:szCs w:val="19"/>
              </w:rPr>
              <w:t xml:space="preserve">10</w:t>
            </w:r>
          </w:p>
        </w:tc>
        <w:tc>
          <w:tcPr>
            <w:tcW w:type="dxa" w:w="15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val="false"/>
                <w:bCs w:val="false"/>
                <w:sz w:val="19"/>
                <w:szCs w:val="19"/>
              </w:rPr>
              <w:t xml:space="preserve">Tipo A</w:t>
            </w:r>
          </w:p>
        </w:tc>
      </w:tr>
      <w:tr>
        <w:trPr>
          <w:tblHeader w:val="false"/>
        </w:trPr>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bCs/>
                <w:sz w:val="19"/>
                <w:szCs w:val="19"/>
              </w:rPr>
              <w:t xml:space="preserve">IG_A2</w:t>
            </w:r>
          </w:p>
        </w:tc>
        <w:tc>
          <w:tcPr>
            <w:tcW w:type="dxa" w:w="526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val="false"/>
                <w:bCs w:val="false"/>
                <w:sz w:val="19"/>
                <w:szCs w:val="19"/>
              </w:rPr>
              <w:t xml:space="preserve">Innovaciones en el ámbito organizacional en medianas y pequeñas empresas</w:t>
            </w:r>
          </w:p>
        </w:tc>
        <w:tc>
          <w:tcPr>
            <w:tcW w:type="dxa" w:w="13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val="false"/>
                <w:bCs w:val="false"/>
                <w:sz w:val="19"/>
                <w:szCs w:val="19"/>
              </w:rPr>
              <w:t xml:space="preserve">6</w:t>
            </w:r>
          </w:p>
        </w:tc>
        <w:tc>
          <w:tcPr>
            <w:tcW w:type="dxa" w:w="15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r>
              <w:rPr>
                <w:b w:val="false"/>
                <w:bCs w:val="false"/>
                <w:sz w:val="19"/>
                <w:szCs w:val="19"/>
              </w:rPr>
              <w:t xml:space="preserve">Tipo A</w:t>
            </w:r>
          </w:p>
        </w:tc>
      </w:tr>
      <w:tr>
        <w:trPr>
          <w:tblHeader w:val="false"/>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IG_B1</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Innovaciones en el ámbito de la comercialización en grandes empresas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Tipo B</w:t>
            </w:r>
          </w:p>
        </w:tc>
      </w:tr>
      <w:tr>
        <w:trPr>
          <w:tblHeader w:val="false"/>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IG_B2</w:t>
            </w:r>
          </w:p>
        </w:tc>
        <w:tc>
          <w:tcPr>
            <w:tcW w:type="dxa" w:w="52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Innovaciones en el ámbito de la comercialización en medianas y pequeñas empresas</w:t>
            </w:r>
          </w:p>
        </w:tc>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Tipo B</w:t>
            </w:r>
          </w:p>
        </w:tc>
      </w:tr>
    </w:tbl>
    <w:p>
      <w:pPr>
        <w:spacing w:after="60"/>
      </w:pPr>
    </w:p>
    <w:p>
      <w:pPr>
        <w:spacing w:after="140" w:line="300"/>
        <w:jc w:val="both"/>
      </w:pPr>
      <w:r>
        <w:t xml:space="preserve">El criterio es objetivo: </w:t>
      </w:r>
      <w:r>
        <w:rPr>
          <w:b/>
          <w:bCs/>
        </w:rPr>
        <w:t xml:space="preserve">toda innovación organizacional es Tipo A</w:t>
      </w:r>
      <w:r>
        <w:t xml:space="preserve">, sin importar el tamaño de la empresa; el tamaño solo define si es A1 o A2. El modelo no exige número de citas, indexación, ni comercialización: exige que la innovación sea organizacional y que esté certificada su implementación.</w:t>
      </w:r>
    </w:p>
    <w:p>
      <w:pPr>
        <w:spacing w:after="140" w:line="300"/>
        <w:jc w:val="both"/>
      </w:pPr>
      <w:r>
        <w:t xml:space="preserve">Adicionalmente, en la </w:t>
      </w:r>
      <w:r>
        <w:rPr>
          <w:b/>
          <w:bCs/>
        </w:rPr>
        <w:t xml:space="preserve">Tabla 6 “Pesos Globales de la Producción”</w:t>
      </w:r>
      <w:r>
        <w:t xml:space="preserve"> (págs. 116–118) el producto IG_A1 recibe un peso global de </w:t>
      </w:r>
      <w:r>
        <w:rPr>
          <w:b/>
          <w:bCs/>
        </w:rPr>
        <w:t xml:space="preserve">100</w:t>
      </w:r>
      <w:r>
        <w:t xml:space="preserve">, el mismo que el secreto empresarial (SE), las empresas de base tecnológica (EBT_A), las empresas creativas y culturales (ICC_A) y las innovaciones en procedimientos y servicios (IPP); y casi tres veces el peso de otros productos Tipo A como los prototipos industriales (PI = 35) o los diseños industriales (DI_A = 35). El modelo, por tanto, no solo las clasifica como Tipo A: las valora entre los productos tecnológicos de mayor peso.</w:t>
      </w:r>
    </w:p>
    <w:p>
      <w:pPr>
        <w:pStyle w:val="Heading1"/>
        <w:spacing w:after="160" w:before="320"/>
      </w:pPr>
      <w:r>
        <w:t xml:space="preserve">5. Cuarto argumento: las innovaciones del investigador son de ámbito organizacional</w:t>
      </w:r>
    </w:p>
    <w:p>
      <w:pPr>
        <w:spacing w:after="140" w:line="300"/>
        <w:jc w:val="both"/>
      </w:pPr>
      <w:r>
        <w:t xml:space="preserve">Las siete innovaciones registradas por el investigador consisten en el diseño, desarrollo e implementación de procesos y procedimientos para el análisis y la preparación de ofertas de servicios de consultoría y construcción, y para la gestión de aliados en concursos de méritos públicos. Su carácter es organizacional por las siguientes razones:</w:t>
      </w:r>
    </w:p>
    <w:p>
      <w:pPr>
        <w:pStyle w:val="ListParagraph"/>
        <w:numPr>
          <w:ilvl w:val="0"/>
          <w:numId w:val="3"/>
        </w:numPr>
        <w:spacing w:after="80" w:line="290"/>
        <w:jc w:val="both"/>
      </w:pPr>
      <w:r>
        <w:rPr>
          <w:b/>
          <w:bCs/>
        </w:rPr>
        <w:t xml:space="preserve">Su objeto es la organización interna del trabajo. </w:t>
      </w:r>
      <w:r>
        <w:t xml:space="preserve">Lo que se crea es un proceso y un procedimiento: flujos de actividades, responsables, puntos de control, criterios de decisión y rutinas para analizar pliegos y estructurar propuestas. Eso es, en sentido estricto, una nueva forma de organizar las prácticas de la empresa.</w:t>
      </w:r>
    </w:p>
    <w:p>
      <w:pPr>
        <w:pStyle w:val="ListParagraph"/>
        <w:numPr>
          <w:ilvl w:val="0"/>
          <w:numId w:val="3"/>
        </w:numPr>
        <w:spacing w:after="80" w:line="290"/>
        <w:jc w:val="both"/>
      </w:pPr>
      <w:r>
        <w:rPr>
          <w:b/>
          <w:bCs/>
        </w:rPr>
        <w:t xml:space="preserve">La gestión de aliados es innovación en relaciones externas. </w:t>
      </w:r>
      <w:r>
        <w:t xml:space="preserve">El proceso de 2024 organiza la conformación y gestión de alianzas (consorcios y uniones temporales) para participar en concursos. La forma en que la empresa organiza sus relaciones con otras organizaciones es un componente típico de la innovación organizacional.</w:t>
      </w:r>
    </w:p>
    <w:p>
      <w:pPr>
        <w:pStyle w:val="ListParagraph"/>
        <w:numPr>
          <w:ilvl w:val="0"/>
          <w:numId w:val="3"/>
        </w:numPr>
        <w:spacing w:after="80" w:line="290"/>
        <w:jc w:val="both"/>
      </w:pPr>
      <w:r>
        <w:rPr>
          <w:b/>
          <w:bCs/>
        </w:rPr>
        <w:t xml:space="preserve">El propio Anexo 1 remite al Manual de Oslo. </w:t>
      </w:r>
      <w:r>
        <w:t xml:space="preserve">El Anexo cita el Manual de Oslo de la OCDE–Eurostat como referente del concepto de innovación (nota 96). En la tradición de ese manual, la innovación organizacional comprende los nuevos métodos en las prácticas de negocio, la organización del lugar de trabajo y las relaciones externas, mientras que la innovación de comercialización (mercadotecnia) se refiere a cambios en el diseño o empaque del producto, su posicionamiento, su promoción o su precio. Ninguna de las siete innovaciones modifica el diseño, el empaque, la promoción ni el precio de un servicio: modifican la manera en que la organización trabaja.</w:t>
      </w:r>
    </w:p>
    <w:p>
      <w:pPr>
        <w:pStyle w:val="ListParagraph"/>
        <w:numPr>
          <w:ilvl w:val="0"/>
          <w:numId w:val="3"/>
        </w:numPr>
        <w:spacing w:after="80" w:line="290"/>
        <w:jc w:val="both"/>
      </w:pPr>
      <w:r>
        <w:rPr>
          <w:b/>
          <w:bCs/>
        </w:rPr>
        <w:t xml:space="preserve">En el concurso de méritos el precio no es el factor de selección. </w:t>
      </w:r>
      <w:r>
        <w:t xml:space="preserve">La Ley 1150 de 2007 (art. 2, num. 3) reserva el concurso de méritos para la selección de consultores, que se hace con base en criterios de calidad, experiencia y capacidad técnica, no por precio. Una innovación para competir en ese escenario no es, por tanto, una estrategia de mercadeo o de precios: es el fortalecimiento de la capacidad organizacional de la empresa para estructurar propuestas técnicas de calidad.</w:t>
      </w:r>
    </w:p>
    <w:p>
      <w:pPr>
        <w:pStyle w:val="ListParagraph"/>
        <w:numPr>
          <w:ilvl w:val="0"/>
          <w:numId w:val="3"/>
        </w:numPr>
        <w:spacing w:after="80" w:line="290"/>
        <w:jc w:val="both"/>
      </w:pPr>
      <w:r>
        <w:rPr>
          <w:b/>
          <w:bCs/>
        </w:rPr>
        <w:t xml:space="preserve">El término “comercial” en el título nombra el área, no el ámbito de la innovación. </w:t>
      </w:r>
      <w:r>
        <w:t xml:space="preserve">Que el proceso sirva al área comercial no lo convierte en innovación de comercialización. Lo determinante para la Tabla XIII es la naturaleza de lo que se innova; aquí se innova un proceso de gestión interno, igual que lo sería un nuevo proceso para el área financiera o de talento humano.</w:t>
      </w:r>
    </w:p>
    <w:p>
      <w:pPr>
        <w:pStyle w:val="ListParagraph"/>
        <w:numPr>
          <w:ilvl w:val="0"/>
          <w:numId w:val="3"/>
        </w:numPr>
        <w:spacing w:after="80" w:line="290"/>
        <w:jc w:val="both"/>
      </w:pPr>
      <w:r>
        <w:rPr>
          <w:b/>
          <w:bCs/>
        </w:rPr>
        <w:t xml:space="preserve">Así fueron registradas. </w:t>
      </w:r>
      <w:r>
        <w:t xml:space="preserve">Las siete figuran en CvLAC como “Innovaciones generadas de producción empresarial – Organizacional”.</w:t>
      </w:r>
    </w:p>
    <w:p>
      <w:pPr>
        <w:spacing w:after="140" w:line="300"/>
        <w:jc w:val="both"/>
      </w:pPr>
      <w:r>
        <w:t xml:space="preserve">Se concluye que, por su naturaleza, las siete innovaciones encajan en la categoría IG_A1 (si la empresa es grande) o IG_A2 (si es mediana o pequeña) y, por tanto, son productos Tipo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2100"/>
        <w:gridCol w:w="1000"/>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N.º</w:t>
            </w:r>
          </w:p>
        </w:tc>
        <w:tc>
          <w:tcPr>
            <w:tcW w:type="dxa" w:w="556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Innovación (según CvLAC)</w:t>
            </w:r>
          </w:p>
        </w:tc>
        <w:tc>
          <w:tcPr>
            <w:tcW w:type="dxa" w:w="21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Organización</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r>
              <w:rPr>
                <w:b/>
                <w:bCs/>
                <w:color w:val="FFFFFF"/>
                <w:sz w:val="19"/>
                <w:szCs w:val="19"/>
              </w:rPr>
              <w:t xml:space="preserve">Año</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1</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Proceso comercial y de gestión de aliados para la participación efectiva en concursos de mérito públicos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2024</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Diseño y desarrollo del proceso y procedimiento comercial para el análisis de procesos y presentación de ofertas de servicios de consultoría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ARM Consulting Ltda.</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2020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3</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Diseño y desarrollo del proceso y procedimiento comercial para el análisis de procesos y presentación de ofertas de servicios de consultoría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JASB Desarrollo Integral de Proyectos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2020</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4</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Diseño y desarrollo del proceso y procedimientos comerciales para el análisis de procesos y presentación de ofertas de servicios de construcción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CODINSO S.A.S.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2019</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5</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Diseño y desarrollo del proceso y procedimiento comercial para el análisis de procesos y presentación de ofertas de servicios de consultoría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RM Ingenieros S.A.S.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2022</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6</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Diseño y desarrollo del proceso y procedimiento comercial para el análisis de procesos y presentación de ofertas de servicios de consultoría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Canji Diseños e Interventoría S.A.S.</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2022</w:t>
            </w:r>
          </w:p>
        </w:tc>
      </w:tr>
      <w:tr>
        <w:trPr>
          <w:tblHeader w:val="false"/>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7</w:t>
            </w:r>
          </w:p>
        </w:tc>
        <w:tc>
          <w:tcPr>
            <w:tcW w:type="dxa" w:w="55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Diseño y desarrollo del proceso y procedimiento comercial para el análisis de procesos y presentación de ofertas de servicios de consultoría</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Alianza Integral de Proyectos S.A.S. B.I.C.</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b w:val="false"/>
                <w:bCs w:val="false"/>
                <w:sz w:val="19"/>
                <w:szCs w:val="19"/>
              </w:rPr>
              <w:t xml:space="preserve">2022</w:t>
            </w:r>
          </w:p>
        </w:tc>
      </w:tr>
    </w:tbl>
    <w:p>
      <w:pPr>
        <w:pStyle w:val="Heading1"/>
        <w:spacing w:after="160" w:before="320"/>
      </w:pPr>
      <w:r>
        <w:t xml:space="preserve">6. Quinto argumento: el modelo les reconoce efecto pleno en la categorización de investigadores</w:t>
      </w:r>
    </w:p>
    <w:p>
      <w:pPr>
        <w:spacing w:after="140" w:line="300"/>
        <w:jc w:val="both"/>
      </w:pPr>
      <w:r>
        <w:t xml:space="preserve">La Tabla 1 del Anexo 1 (pág. 47) establece que el reconocimiento como </w:t>
      </w:r>
      <w:r>
        <w:rPr>
          <w:b/>
          <w:bCs/>
        </w:rPr>
        <w:t xml:space="preserve">Investigador Junior</w:t>
      </w:r>
      <w:r>
        <w:t xml:space="preserve"> (para graduados de maestría) exige:</w:t>
      </w:r>
    </w:p>
    <w:p>
      <w:pPr>
        <w:pBdr>
          <w:left w:val="single" w:color="1F3864" w:sz="18" w:space="8"/>
        </w:pBdr>
        <w:spacing w:after="160" w:line="290"/>
        <w:ind w:left="567" w:right="567"/>
        <w:jc w:val="both"/>
      </w:pPr>
      <w:r>
        <w:rPr>
          <w:i/>
          <w:iCs/>
        </w:rPr>
        <w:t xml:space="preserve">“Un (1) producto de nuevo conocimiento o de resultados de actividades de desarrollo tecnológico e innovación tipo A, en toda su trayectoria académica; y cuatro (4) productos de nuevo conocimiento o de resultados de actividades de desarrollo tecnológico e innovación en los últimos cinco (5) años.”</w:t>
      </w:r>
      <w:r>
        <w:rPr>
          <w:color w:val="555555"/>
          <w:sz w:val="18"/>
          <w:szCs w:val="18"/>
        </w:rPr>
        <w:t xml:space="preserve">  (Anexo 1, Tabla 1, pág. 47)</w:t>
      </w:r>
    </w:p>
    <w:p>
      <w:pPr>
        <w:spacing w:after="140" w:line="300"/>
        <w:jc w:val="both"/>
      </w:pPr>
      <w:r>
        <w:t xml:space="preserve">Una innovación IG_A1 o IG_A2 satisface por sí sola el primer requisito, y cada una de ellas cuenta para el segundo. Las categorías superiores (Asociado y Sénior) también se construyen sobre productos “Tipo Top o Tipo A” (Tabla 1 y nota 37, que remite expresamente al listado del Capítulo III). El modelo, por tanto, no trata a estas innovaciones como producción secundaria: </w:t>
      </w:r>
      <w:r>
        <w:rPr>
          <w:b/>
          <w:bCs/>
        </w:rPr>
        <w:t xml:space="preserve">les otorga el mismo efecto que a cualquier otro producto Tipo A.</w:t>
      </w:r>
    </w:p>
    <w:p>
      <w:pPr>
        <w:pStyle w:val="Heading1"/>
        <w:spacing w:after="160" w:before="320"/>
      </w:pPr>
      <w:r>
        <w:t xml:space="preserve">7. Soportes que respaldan la clasificación</w:t>
      </w:r>
    </w:p>
    <w:p>
      <w:pPr>
        <w:spacing w:after="140" w:line="300"/>
        <w:jc w:val="both"/>
      </w:pPr>
      <w:r>
        <w:t xml:space="preserve">Para que cada innovación sea validada como IG_A1 o IG_A2, la Tabla XIII del Anexo 1 señala los requerimientos de existencia. Con ellos la clasificación Tipo A queda plenamente demostrada:</w:t>
      </w:r>
    </w:p>
    <w:p>
      <w:pPr>
        <w:pStyle w:val="ListParagraph"/>
        <w:numPr>
          <w:ilvl w:val="0"/>
          <w:numId w:val="2"/>
        </w:numPr>
        <w:spacing w:after="80" w:line="290"/>
        <w:jc w:val="both"/>
      </w:pPr>
      <w:r>
        <w:t xml:space="preserve">Nombre de la innovación, fecha y autor(es).</w:t>
      </w:r>
    </w:p>
    <w:p>
      <w:pPr>
        <w:pStyle w:val="ListParagraph"/>
        <w:numPr>
          <w:ilvl w:val="0"/>
          <w:numId w:val="2"/>
        </w:numPr>
        <w:spacing w:after="80" w:line="290"/>
        <w:jc w:val="both"/>
      </w:pPr>
      <w:r>
        <w:t xml:space="preserve">Certificado de implementación en la empresa, expedido por su representante legal.</w:t>
      </w:r>
    </w:p>
    <w:p>
      <w:pPr>
        <w:pStyle w:val="ListParagraph"/>
        <w:numPr>
          <w:ilvl w:val="0"/>
          <w:numId w:val="2"/>
        </w:numPr>
        <w:spacing w:after="80" w:line="290"/>
        <w:jc w:val="both"/>
      </w:pPr>
      <w:r>
        <w:t xml:space="preserve">Título del proyecto aprobado en convocatorias del SNCTI en cuyo marco se generó la innovación.</w:t>
      </w:r>
    </w:p>
    <w:p>
      <w:pPr>
        <w:pStyle w:val="ListParagraph"/>
        <w:numPr>
          <w:ilvl w:val="0"/>
          <w:numId w:val="2"/>
        </w:numPr>
        <w:spacing w:after="80" w:line="290"/>
        <w:jc w:val="both"/>
      </w:pPr>
      <w:r>
        <w:t xml:space="preserve">NIT de la empresa y documento que especifique su tamaño según la ley (determina A1 o A2).</w:t>
      </w:r>
    </w:p>
    <w:p>
      <w:pPr>
        <w:pStyle w:val="ListParagraph"/>
        <w:numPr>
          <w:ilvl w:val="0"/>
          <w:numId w:val="2"/>
        </w:numPr>
        <w:spacing w:after="80" w:line="290"/>
        <w:jc w:val="both"/>
      </w:pPr>
      <w:r>
        <w:t xml:space="preserve">Certificación del producto por parte de la entidad que pertenece al SNCTI.</w:t>
      </w:r>
    </w:p>
    <w:p>
      <w:pPr>
        <w:spacing w:after="140" w:line="300"/>
        <w:jc w:val="both"/>
      </w:pPr>
      <w:r>
        <w:t xml:space="preserve">Se recomienda que cada certificado describa expresamente el carácter organizacional de la innovación (rediseño de procesos, procedimientos, roles y relaciones con aliados), los beneficios tangibles obtenidos por la empresa y la adaptación específica realizada para cada organización.</w:t>
      </w:r>
    </w:p>
    <w:p>
      <w:pPr>
        <w:pStyle w:val="Heading1"/>
        <w:spacing w:after="160" w:before="320"/>
      </w:pPr>
      <w:r>
        <w:t xml:space="preserve">8. Conclusión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12"/>
              <w:bottom w:val="single" w:color="1F3864" w:sz="12"/>
              <w:right w:val="single" w:color="1F3864" w:sz="12"/>
            </w:tcBorders>
            <w:shd w:fill="EAF0F8" w:color="auto" w:val="clear"/>
            <w:tcMar>
              <w:top w:type="dxa" w:w="160"/>
              <w:left w:type="dxa" w:w="220"/>
              <w:bottom w:type="dxa" w:w="160"/>
              <w:right w:type="dxa" w:w="220"/>
            </w:tcMar>
          </w:tcPr>
          <w:p>
            <w:pPr>
              <w:spacing w:after="120" w:line="300"/>
              <w:jc w:val="both"/>
            </w:pPr>
            <w:r>
              <w:rPr>
                <w:b/>
                <w:bCs/>
              </w:rPr>
              <w:t xml:space="preserve">A la luz del Anexo 1 de la Convocatoria 957 de 2024, las innovaciones generadas en la gestión empresarial de ámbito organizacional son productos Tipo A. </w:t>
            </w:r>
            <w:r>
              <w:t xml:space="preserve">Así lo establece de forma literal el numeral 3.7.2 (IG_A1 e IG_A2), lo confirma la Tabla XIII al fijar el ámbito organizacional como criterio de calidad A, y lo refuerza la Tabla 6 al asignarles un peso global de 100, equivalente al de las empresas de base tecnológica y el secreto empresarial.</w:t>
            </w:r>
          </w:p>
          <w:p>
            <w:pPr>
              <w:spacing w:after="0" w:line="300"/>
              <w:jc w:val="both"/>
            </w:pPr>
            <w:r>
              <w:t xml:space="preserve">Las siete innovaciones del investigador Ángel Arturo Rincón Suárez —procesos y procedimientos para el análisis y presentación de ofertas y para la gestión de aliados en concursos de méritos— son innovaciones organizacionales por su naturaleza y por su registro, y, con sus respectivos certificados de implementación, </w:t>
            </w:r>
            <w:r>
              <w:rPr>
                <w:b/>
                <w:bCs/>
              </w:rPr>
              <w:t xml:space="preserve">deben reconocerse como productos Tipo A (IG_A1 o IG_A2 según el tamaño de cada empresa).</w:t>
            </w:r>
          </w:p>
        </w:tc>
      </w:tr>
    </w:tbl>
    <w:p>
      <w:pPr>
        <w:pStyle w:val="Heading2"/>
        <w:spacing w:after="120" w:before="240"/>
      </w:pPr>
      <w:r>
        <w:t xml:space="preserve">Referencias</w:t>
      </w:r>
    </w:p>
    <w:p>
      <w:pPr>
        <w:pStyle w:val="ListParagraph"/>
        <w:numPr>
          <w:ilvl w:val="0"/>
          <w:numId w:val="2"/>
        </w:numPr>
        <w:spacing w:after="80" w:line="290"/>
        <w:jc w:val="both"/>
      </w:pPr>
      <w:r>
        <w:t xml:space="preserve">Ministerio de Ciencia, Tecnología e Innovación. Anexo 1. Convocatoria Nacional para el Reconocimiento y Medición de Grupos de Investigación, Desarrollo Tecnológico o de Innovación y para el Reconocimiento de Investigadores del SNCTI – 2024. Código M601PR04G01, versión 02. Numerales 2.2.2.2.5 y 3.7.2; Tablas 1, 6 y XIII.</w:t>
      </w:r>
    </w:p>
    <w:p>
      <w:pPr>
        <w:pStyle w:val="ListParagraph"/>
        <w:numPr>
          <w:ilvl w:val="0"/>
          <w:numId w:val="2"/>
        </w:numPr>
        <w:spacing w:after="80" w:line="290"/>
        <w:jc w:val="both"/>
      </w:pPr>
      <w:r>
        <w:t xml:space="preserve">Ministerio de Ciencia, Tecnología e Innovación. Resolución 0943 de 2024 (Convocatoria 957 de 2024).</w:t>
      </w:r>
    </w:p>
    <w:p>
      <w:pPr>
        <w:pStyle w:val="ListParagraph"/>
        <w:numPr>
          <w:ilvl w:val="0"/>
          <w:numId w:val="2"/>
        </w:numPr>
        <w:spacing w:after="80" w:line="290"/>
        <w:jc w:val="both"/>
      </w:pPr>
      <w:r>
        <w:t xml:space="preserve">OCDE / Eurostat. Manual de Oslo: guía para la recogida e interpretación de datos sobre innovación (3.ª ed., 2005) y Oslo Manual 2018 (4.ª ed.).</w:t>
      </w:r>
    </w:p>
    <w:p>
      <w:pPr>
        <w:pStyle w:val="ListParagraph"/>
        <w:numPr>
          <w:ilvl w:val="0"/>
          <w:numId w:val="2"/>
        </w:numPr>
        <w:spacing w:after="80" w:line="290"/>
        <w:jc w:val="both"/>
      </w:pPr>
      <w:r>
        <w:t xml:space="preserve">Congreso de la República de Colombia. Ley 1150 de 2007, artículo 2, numeral 3 (concurso de méritos).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Justificación Tipo A – Innovaciones en gestión empresarial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26"/>
      <w:szCs w:val="26"/>
    </w:rPr>
  </w:style>
  <w:style w:type="paragraph" w:styleId="Heading2">
    <w:name w:val="Heading 2"/>
    <w:basedOn w:val="Normal"/>
    <w:next w:val="Normal"/>
    <w:qFormat/>
    <w:pPr>
      <w:outlineLvl w:val="1"/>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2026-10-24T16:11:00.539Z</dcterms:created>
  <dcterms:modified xsi:type="dcterms:W3CDTF">2026-10-24T16:11:00.549Z</dcterms:modified>
</cp:coreProperties>
</file>

<file path=docProps/custom.xml><?xml version="1.0" encoding="utf-8"?>
<Properties xmlns="http://schemas.openxmlformats.org/officeDocument/2006/custom-properties" xmlns:vt="http://schemas.openxmlformats.org/officeDocument/2006/docPropsVTypes"/>
</file>