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Examen de controles de interventoría en obra pública</w:t>
      </w:r>
    </w:p>
    <w:p>
      <w:pPr/>
      <w:r>
        <w:t xml:space="preserve">Oct 19, 2026</w:t>
      </w:r>
      <w:r>
        <w:t xml:space="preserve"> · </w:t>
      </w:r>
      <w:r>
        <w:t xml:space="preserve">@Angel</w:t>
      </w:r>
    </w:p>
    <w:p>
      <w:pPr>
        <w:pStyle w:val="Heading2"/>
      </w:pPr>
      <w:r>
        <w:t xml:space="preserve">Instrucciones</w:t>
      </w:r>
    </w:p>
    <w:p>
      <w:pPr/>
      <w:r>
        <w:t xml:space="preserve">El examen tiene 5 partes y 150 puntos. Evalúa la aplicación de los controles técnico, administrativo, financiero-contable, jurídico, ambiental, social y de SST a situaciones reales de obra pública en Colombia.</w:t>
      </w:r>
    </w:p>
    <w:tbl>
      <w:tblPr>
        <w:tblStyle w:val="TableGrid"/>
        <w:tblW w:w="0" w:type="auto"/>
        <w:tblLayout w:type="fixed"/>
        <w:tblLook w:val="04A0" w:firstRow="1" w:lastRow="0" w:firstColumn="0" w:lastColumn="0" w:noHBand="0" w:noVBand="1"/>
      </w:tblPr>
      <w:tblGrid>
        <w:gridCol w:w="790"/>
        <w:gridCol w:w="4920"/>
        <w:gridCol w:w="1671"/>
        <w:gridCol w:w="1979"/>
      </w:tblGrid>
      <w:tr>
        <w:trPr>
          <w:tblHeader/>
        </w:trPr>
        <w:tc>
          <w:tcPr>
            <w:tcW w:w="790" w:type="dxa"/>
            <w:shd w:val="clear" w:color="auto" w:fill="F2F2F2"/>
          </w:tcPr>
          <w:p>
            <w:pPr/>
            <w:r>
              <w:t xml:space="preserve">Parte</w:t>
            </w:r>
          </w:p>
        </w:tc>
        <w:tc>
          <w:tcPr>
            <w:tcW w:w="4920" w:type="dxa"/>
            <w:shd w:val="clear" w:color="auto" w:fill="F2F2F2"/>
          </w:tcPr>
          <w:p>
            <w:pPr/>
            <w:r>
              <w:t xml:space="preserve">Contenido</w:t>
            </w:r>
          </w:p>
        </w:tc>
        <w:tc>
          <w:tcPr>
            <w:tcW w:w="1671" w:type="dxa"/>
            <w:shd w:val="clear" w:color="auto" w:fill="F2F2F2"/>
          </w:tcPr>
          <w:p>
            <w:pPr/>
            <w:r>
              <w:t xml:space="preserve">Preguntas</w:t>
            </w:r>
          </w:p>
        </w:tc>
        <w:tc>
          <w:tcPr>
            <w:tcW w:w="1979" w:type="dxa"/>
            <w:shd w:val="clear" w:color="auto" w:fill="F2F2F2"/>
          </w:tcPr>
          <w:p>
            <w:pPr/>
            <w:r>
              <w:t xml:space="preserve">Puntos</w:t>
            </w:r>
          </w:p>
        </w:tc>
      </w:tr>
      <w:tr>
        <w:tc>
          <w:tcPr>
            <w:tcW w:w="790" w:type="dxa"/>
          </w:tcPr>
          <w:p>
            <w:pPr/>
            <w:r>
              <w:t xml:space="preserve">I</w:t>
            </w:r>
          </w:p>
        </w:tc>
        <w:tc>
          <w:tcPr>
            <w:tcW w:w="4920" w:type="dxa"/>
          </w:tcPr>
          <w:p>
            <w:pPr/>
            <w:r>
              <w:t xml:space="preserve">Selección múltiple sobre casos cortos</w:t>
            </w:r>
          </w:p>
        </w:tc>
        <w:tc>
          <w:tcPr>
            <w:tcW w:w="1671" w:type="dxa"/>
          </w:tcPr>
          <w:p>
            <w:pPr/>
            <w:r>
              <w:t xml:space="preserve">25</w:t>
            </w:r>
          </w:p>
        </w:tc>
        <w:tc>
          <w:tcPr>
            <w:tcW w:w="1979" w:type="dxa"/>
          </w:tcPr>
          <w:p>
            <w:pPr/>
            <w:r>
              <w:t xml:space="preserve">25 (1 c/u)</w:t>
            </w:r>
          </w:p>
        </w:tc>
      </w:tr>
      <w:tr>
        <w:tc>
          <w:tcPr>
            <w:tcW w:w="790" w:type="dxa"/>
          </w:tcPr>
          <w:p>
            <w:pPr/>
            <w:r>
              <w:t xml:space="preserve">II</w:t>
            </w:r>
          </w:p>
        </w:tc>
        <w:tc>
          <w:tcPr>
            <w:tcW w:w="4920" w:type="dxa"/>
          </w:tcPr>
          <w:p>
            <w:pPr/>
            <w:r>
              <w:t xml:space="preserve">Casos de estudio por tipo de obra, preguntas abiertas</w:t>
            </w:r>
          </w:p>
        </w:tc>
        <w:tc>
          <w:tcPr>
            <w:tcW w:w="1671" w:type="dxa"/>
          </w:tcPr>
          <w:p>
            <w:pPr/>
            <w:r>
              <w:t xml:space="preserve">5 casos</w:t>
            </w:r>
          </w:p>
        </w:tc>
        <w:tc>
          <w:tcPr>
            <w:tcW w:w="1979" w:type="dxa"/>
          </w:tcPr>
          <w:p>
            <w:pPr/>
            <w:r>
              <w:t xml:space="preserve">40 (8 c/u)</w:t>
            </w:r>
          </w:p>
        </w:tc>
      </w:tr>
      <w:tr>
        <w:tc>
          <w:tcPr>
            <w:tcW w:w="790" w:type="dxa"/>
          </w:tcPr>
          <w:p>
            <w:pPr/>
            <w:r>
              <w:t xml:space="preserve">III</w:t>
            </w:r>
          </w:p>
        </w:tc>
        <w:tc>
          <w:tcPr>
            <w:tcW w:w="4920" w:type="dxa"/>
          </w:tcPr>
          <w:p>
            <w:pPr/>
            <w:r>
              <w:t xml:space="preserve">Verdadero o falso justificado</w:t>
            </w:r>
          </w:p>
        </w:tc>
        <w:tc>
          <w:tcPr>
            <w:tcW w:w="1671" w:type="dxa"/>
          </w:tcPr>
          <w:p>
            <w:pPr/>
            <w:r>
              <w:t xml:space="preserve">15</w:t>
            </w:r>
          </w:p>
        </w:tc>
        <w:tc>
          <w:tcPr>
            <w:tcW w:w="1979" w:type="dxa"/>
          </w:tcPr>
          <w:p>
            <w:pPr/>
            <w:r>
              <w:t xml:space="preserve">15 (1 c/u)</w:t>
            </w:r>
          </w:p>
        </w:tc>
      </w:tr>
      <w:tr>
        <w:tc>
          <w:tcPr>
            <w:tcW w:w="790" w:type="dxa"/>
          </w:tcPr>
          <w:p>
            <w:pPr/>
            <w:r>
              <w:t xml:space="preserve">IV</w:t>
            </w:r>
          </w:p>
        </w:tc>
        <w:tc>
          <w:tcPr>
            <w:tcW w:w="4920" w:type="dxa"/>
          </w:tcPr>
          <w:p>
            <w:pPr/>
            <w:r>
              <w:t xml:space="preserve">Caso integrador 1: troncal urbana</w:t>
            </w:r>
          </w:p>
        </w:tc>
        <w:tc>
          <w:tcPr>
            <w:tcW w:w="1671" w:type="dxa"/>
          </w:tcPr>
          <w:p>
            <w:pPr/>
            <w:r>
              <w:t xml:space="preserve">5 preguntas</w:t>
            </w:r>
          </w:p>
        </w:tc>
        <w:tc>
          <w:tcPr>
            <w:tcW w:w="1979" w:type="dxa"/>
          </w:tcPr>
          <w:p>
            <w:pPr/>
            <w:r>
              <w:t xml:space="preserve">20</w:t>
            </w:r>
          </w:p>
        </w:tc>
      </w:tr>
      <w:tr>
        <w:tc>
          <w:tcPr>
            <w:tcW w:w="790" w:type="dxa"/>
          </w:tcPr>
          <w:p>
            <w:pPr/>
            <w:r>
              <w:t xml:space="preserve">V</w:t>
            </w:r>
          </w:p>
        </w:tc>
        <w:tc>
          <w:tcPr>
            <w:tcW w:w="4920" w:type="dxa"/>
          </w:tcPr>
          <w:p>
            <w:pPr/>
            <w:r>
              <w:t xml:space="preserve">Casos integradores 2 a 4: curva S, flujo de efectivo, vigencias presupuestales y liquidación</w:t>
            </w:r>
          </w:p>
        </w:tc>
        <w:tc>
          <w:tcPr>
            <w:tcW w:w="1671" w:type="dxa"/>
          </w:tcPr>
          <w:p>
            <w:pPr/>
            <w:r>
              <w:t xml:space="preserve">3 casos, 13 preguntas</w:t>
            </w:r>
          </w:p>
        </w:tc>
        <w:tc>
          <w:tcPr>
            <w:tcW w:w="1979" w:type="dxa"/>
          </w:tcPr>
          <w:p>
            <w:pPr/>
            <w:r>
              <w:t xml:space="preserve">50 (20 + 15 + 15)</w:t>
            </w:r>
          </w:p>
        </w:tc>
      </w:tr>
      <w:tr>
        <w:tc>
          <w:tcPr>
            <w:tcW w:w="790" w:type="dxa"/>
          </w:tcPr>
          <w:p>
            <w:pPr/>
          </w:p>
        </w:tc>
        <w:tc>
          <w:tcPr>
            <w:tcW w:w="4920" w:type="dxa"/>
          </w:tcPr>
          <w:p>
            <w:pPr/>
            <w:r>
              <w:rPr>
                <w:b/>
              </w:rPr>
              <w:t xml:space="preserve">Total</w:t>
            </w:r>
          </w:p>
        </w:tc>
        <w:tc>
          <w:tcPr>
            <w:tcW w:w="1671" w:type="dxa"/>
          </w:tcPr>
          <w:p>
            <w:pPr/>
          </w:p>
        </w:tc>
        <w:tc>
          <w:tcPr>
            <w:tcW w:w="1979" w:type="dxa"/>
          </w:tcPr>
          <w:p>
            <w:pPr/>
            <w:r>
              <w:rPr>
                <w:b/>
              </w:rPr>
              <w:t xml:space="preserve">150</w:t>
            </w:r>
          </w:p>
        </w:tc>
      </w:tr>
    </w:tbl>
    <w:p>
      <w:pPr>
        <w:pStyle w:val="ListParagraph"/>
        <w:numPr>
          <w:ilvl w:val="0"/>
          <w:numId w:val="2"/>
        </w:numPr>
      </w:pPr>
      <w:r>
        <w:t xml:space="preserve">Tiempo sugerido: 5 horas, o dos sesiones (Partes I a IV y Parte V). Nota aprobatoria: 105 puntos (70 %).</w:t>
      </w:r>
    </w:p>
    <w:p>
      <w:pPr>
        <w:pStyle w:val="ListParagraph"/>
        <w:numPr>
          <w:ilvl w:val="0"/>
          <w:numId w:val="2"/>
        </w:numPr>
      </w:pPr>
      <w:r>
        <w:t xml:space="preserve">Marco de referencia: Ley 80 de 1993, Ley 1150 de 2007, Ley 1474 de 2011 (arts. 82 a 86), Ley 1882 de 2018, Decreto 1082 de 2015, Ley 1508 de 2012 (APP), la Guía de supervisión e interventoría de Colombia Compra Eficiente y los manuales de interventoría del INVÍAS, la ANI, el IDU y Enterritorio.</w:t>
      </w:r>
    </w:p>
    <w:p>
      <w:pPr>
        <w:pStyle w:val="ListParagraph"/>
        <w:numPr>
          <w:ilvl w:val="0"/>
          <w:numId w:val="2"/>
        </w:numPr>
      </w:pPr>
      <w:r>
        <w:t xml:space="preserve">En las preguntas abiertas, cite la norma o el documento contractual que soporta la respuesta e identifique qué tipo de control aplica.</w:t>
      </w:r>
    </w:p>
    <w:p>
      <w:pPr>
        <w:pStyle w:val="ListParagraph"/>
        <w:numPr>
          <w:ilvl w:val="0"/>
          <w:numId w:val="2"/>
        </w:numPr>
      </w:pPr>
      <w:r>
        <w:t xml:space="preserve">Los casos son ficticios. Los valores y plazos son ilustrativos.</w:t>
      </w:r>
    </w:p>
    <w:p>
      <w:pPr>
        <w:pStyle w:val="ListParagraph"/>
        <w:numPr>
          <w:ilvl w:val="0"/>
          <w:numId w:val="2"/>
        </w:numPr>
      </w:pPr>
      <w:r>
        <w:t xml:space="preserve">Las respuestas y criterios de calificación están al final. El evaluador puede retirar esa sección antes de entregar el examen.</w:t>
      </w:r>
    </w:p>
    <w:p>
      <w:pPr>
        <w:pStyle w:val="Heading2"/>
      </w:pPr>
      <w:r>
        <w:t xml:space="preserve">Parte I. Selección múltiple (25 puntos)</w:t>
      </w:r>
    </w:p>
    <w:p>
      <w:pPr/>
      <w:r>
        <w:t xml:space="preserve">Marque una sola respuesta por pregunta. Cada pregunta vale 1 punto.</w:t>
      </w:r>
    </w:p>
    <w:p>
      <w:pPr>
        <w:pStyle w:val="Heading3"/>
      </w:pPr>
      <w:r>
        <w:t xml:space="preserve">Control técnico</w:t>
      </w:r>
    </w:p>
    <w:p>
      <w:pPr>
        <w:pStyle w:val="ListParagraph"/>
        <w:numPr>
          <w:ilvl w:val="0"/>
          <w:numId w:val="3"/>
        </w:numPr>
      </w:pPr>
      <w:r>
        <w:t xml:space="preserve">En el mejoramiento de una vía secundaria, los ensayos de densidad en campo de la base granular dan 92 % del Proctor modificado. La especificación exige 100 %. El contratista pide autorización para imprimar ese mismo día. ¿Qué debe hacer el interventor?</w:t>
      </w:r>
    </w:p>
    <w:p>
      <w:pPr>
        <w:pStyle w:val="ListParagraph"/>
        <w:numPr>
          <w:ilvl w:val="1"/>
          <w:numId w:val="4"/>
        </w:numPr>
      </w:pPr>
      <w:r>
        <w:t xml:space="preserve">a) Autorizar la imprimación y aplicar un descuento en el precio del ítem.</w:t>
      </w:r>
    </w:p>
    <w:p>
      <w:pPr>
        <w:pStyle w:val="ListParagraph"/>
        <w:numPr>
          <w:ilvl w:val="1"/>
          <w:numId w:val="4"/>
        </w:numPr>
      </w:pPr>
      <w:r>
        <w:t xml:space="preserve">b) Autorizar si el contratista firma un compromiso de garantía adicional.</w:t>
      </w:r>
    </w:p>
    <w:p>
      <w:pPr>
        <w:pStyle w:val="ListParagraph"/>
        <w:numPr>
          <w:ilvl w:val="1"/>
          <w:numId w:val="4"/>
        </w:numPr>
      </w:pPr>
      <w:r>
        <w:t xml:space="preserve">c) No autorizar, ordenar escarificar y recompactar el tramo, repetir los ensayos y dejar constancia en la bitácora.</w:t>
      </w:r>
    </w:p>
    <w:p>
      <w:pPr>
        <w:pStyle w:val="ListParagraph"/>
        <w:numPr>
          <w:ilvl w:val="1"/>
          <w:numId w:val="4"/>
        </w:numPr>
      </w:pPr>
      <w:r>
        <w:t xml:space="preserve">d) Autorizar, porque la diferencia está dentro de la tolerancia del laboratorio.</w:t>
      </w:r>
    </w:p>
    <w:p>
      <w:pPr>
        <w:pStyle w:val="ListParagraph"/>
        <w:numPr>
          <w:ilvl w:val="0"/>
          <w:numId w:val="3"/>
        </w:numPr>
      </w:pPr>
      <w:r>
        <w:t xml:space="preserve">En un colegio en construcción, los cilindros de concreto de una losa ensayados a 28 días no cumplen el f'c de diseño. ¿Cuál es el procedimiento correcto?</w:t>
      </w:r>
    </w:p>
    <w:p>
      <w:pPr>
        <w:pStyle w:val="ListParagraph"/>
        <w:numPr>
          <w:ilvl w:val="1"/>
          <w:numId w:val="5"/>
        </w:numPr>
      </w:pPr>
      <w:r>
        <w:t xml:space="preserve">a) Investigar según la NSR-10 (título C): extraer núcleos y, si persiste el incumplimiento, pedir evaluación estructural o prueba de carga antes de decidir.</w:t>
      </w:r>
    </w:p>
    <w:p>
      <w:pPr>
        <w:pStyle w:val="ListParagraph"/>
        <w:numPr>
          <w:ilvl w:val="1"/>
          <w:numId w:val="5"/>
        </w:numPr>
      </w:pPr>
      <w:r>
        <w:t xml:space="preserve">b) Ordenar la demolición inmediata de la losa.</w:t>
      </w:r>
    </w:p>
    <w:p>
      <w:pPr>
        <w:pStyle w:val="ListParagraph"/>
        <w:numPr>
          <w:ilvl w:val="1"/>
          <w:numId w:val="5"/>
        </w:numPr>
      </w:pPr>
      <w:r>
        <w:t xml:space="preserve">c) Pagar el ítem, porque el contratista suministró el concreto con certificado de la planta.</w:t>
      </w:r>
    </w:p>
    <w:p>
      <w:pPr>
        <w:pStyle w:val="ListParagraph"/>
        <w:numPr>
          <w:ilvl w:val="1"/>
          <w:numId w:val="5"/>
        </w:numPr>
      </w:pPr>
      <w:r>
        <w:t xml:space="preserve">d) Imponer de inmediato una multa al contratista.</w:t>
      </w:r>
    </w:p>
    <w:p>
      <w:pPr>
        <w:pStyle w:val="ListParagraph"/>
        <w:numPr>
          <w:ilvl w:val="0"/>
          <w:numId w:val="3"/>
        </w:numPr>
      </w:pPr>
      <w:r>
        <w:t xml:space="preserve">El acta mensual del contratista reporta 1.200 m³ de excavación. Las mediciones topográficas de la interventoría dan 950 m³. ¿Qué cantidad se aprueba?</w:t>
      </w:r>
    </w:p>
    <w:p>
      <w:pPr>
        <w:pStyle w:val="ListParagraph"/>
        <w:numPr>
          <w:ilvl w:val="1"/>
          <w:numId w:val="6"/>
        </w:numPr>
      </w:pPr>
      <w:r>
        <w:t xml:space="preserve">a) 1.200 m³, y la diferencia se ajusta en la liquidación.</w:t>
      </w:r>
    </w:p>
    <w:p>
      <w:pPr>
        <w:pStyle w:val="ListParagraph"/>
        <w:numPr>
          <w:ilvl w:val="1"/>
          <w:numId w:val="6"/>
        </w:numPr>
      </w:pPr>
      <w:r>
        <w:t xml:space="preserve">b) El promedio, 1.075 m³.</w:t>
      </w:r>
    </w:p>
    <w:p>
      <w:pPr>
        <w:pStyle w:val="ListParagraph"/>
        <w:numPr>
          <w:ilvl w:val="1"/>
          <w:numId w:val="6"/>
        </w:numPr>
      </w:pPr>
      <w:r>
        <w:t xml:space="preserve">c) Ninguna, hasta que la entidad contrate una tercera medición.</w:t>
      </w:r>
    </w:p>
    <w:p>
      <w:pPr>
        <w:pStyle w:val="ListParagraph"/>
        <w:numPr>
          <w:ilvl w:val="1"/>
          <w:numId w:val="6"/>
        </w:numPr>
      </w:pPr>
      <w:r>
        <w:t xml:space="preserve">d) 950 m³, soportados con memorias de cálculo y registros de medición.</w:t>
      </w:r>
    </w:p>
    <w:p>
      <w:pPr>
        <w:pStyle w:val="ListParagraph"/>
        <w:numPr>
          <w:ilvl w:val="0"/>
          <w:numId w:val="3"/>
        </w:numPr>
      </w:pPr>
      <w:r>
        <w:t xml:space="preserve">Durante la excavación de un box culvert aparece roca que no estaba en los estudios ni en el presupuesto. ¿Cómo se trata?</w:t>
      </w:r>
    </w:p>
    <w:p>
      <w:pPr>
        <w:pStyle w:val="ListParagraph"/>
        <w:numPr>
          <w:ilvl w:val="1"/>
          <w:numId w:val="7"/>
        </w:numPr>
      </w:pPr>
      <w:r>
        <w:t xml:space="preserve">a) El contratista la excava y cobra el precio que considere justo.</w:t>
      </w:r>
    </w:p>
    <w:p>
      <w:pPr>
        <w:pStyle w:val="ListParagraph"/>
        <w:numPr>
          <w:ilvl w:val="1"/>
          <w:numId w:val="7"/>
        </w:numPr>
      </w:pPr>
      <w:r>
        <w:t xml:space="preserve">b) El interventor fija el precio y ordena ejecutar.</w:t>
      </w:r>
    </w:p>
    <w:p>
      <w:pPr>
        <w:pStyle w:val="ListParagraph"/>
        <w:numPr>
          <w:ilvl w:val="1"/>
          <w:numId w:val="7"/>
        </w:numPr>
      </w:pPr>
      <w:r>
        <w:t xml:space="preserve">c) Se trata como ítem no previsto: el contratista presenta el APU, el interventor lo analiza frente a precios de mercado, la entidad lo aprueba y se formaliza con disponibilidad presupuestal antes de pagarlo.</w:t>
      </w:r>
    </w:p>
    <w:p>
      <w:pPr>
        <w:pStyle w:val="ListParagraph"/>
        <w:numPr>
          <w:ilvl w:val="1"/>
          <w:numId w:val="7"/>
        </w:numPr>
      </w:pPr>
      <w:r>
        <w:t xml:space="preserve">d) Se paga como excavación en material común.</w:t>
      </w:r>
    </w:p>
    <w:p>
      <w:pPr>
        <w:pStyle w:val="ListParagraph"/>
        <w:numPr>
          <w:ilvl w:val="0"/>
          <w:numId w:val="3"/>
        </w:numPr>
      </w:pPr>
      <w:r>
        <w:t xml:space="preserve">El contratista propone cambiar la cimentación de un puente de pilotes a zapatas para ahorrar tiempo. ¿Qué debe hacer el interventor?</w:t>
      </w:r>
    </w:p>
    <w:p>
      <w:pPr>
        <w:pStyle w:val="ListParagraph"/>
        <w:numPr>
          <w:ilvl w:val="1"/>
          <w:numId w:val="8"/>
        </w:numPr>
      </w:pPr>
      <w:r>
        <w:t xml:space="preserve">a) Aprobarlo si reduce el costo.</w:t>
      </w:r>
    </w:p>
    <w:p>
      <w:pPr>
        <w:pStyle w:val="ListParagraph"/>
        <w:numPr>
          <w:ilvl w:val="1"/>
          <w:numId w:val="8"/>
        </w:numPr>
      </w:pPr>
      <w:r>
        <w:t xml:space="preserve">b) Remitirlo al diseñador y a la entidad con su concepto técnico; el cambio solo procede con aval del diseñador y decisión de la entidad, y si cambia el objeto o el valor, con modificación contractual.</w:t>
      </w:r>
    </w:p>
    <w:p>
      <w:pPr>
        <w:pStyle w:val="ListParagraph"/>
        <w:numPr>
          <w:ilvl w:val="1"/>
          <w:numId w:val="8"/>
        </w:numPr>
      </w:pPr>
      <w:r>
        <w:t xml:space="preserve">c) Rechazarlo de plano porque los diseños nunca se pueden cambiar.</w:t>
      </w:r>
    </w:p>
    <w:p>
      <w:pPr>
        <w:pStyle w:val="ListParagraph"/>
        <w:numPr>
          <w:ilvl w:val="1"/>
          <w:numId w:val="8"/>
        </w:numPr>
      </w:pPr>
      <w:r>
        <w:t xml:space="preserve">d) Aprobarlo y avisar a la entidad al final del contrato.</w:t>
      </w:r>
    </w:p>
    <w:p>
      <w:pPr>
        <w:pStyle w:val="Heading3"/>
      </w:pPr>
      <w:r>
        <w:t xml:space="preserve">Control administrativo</w:t>
      </w:r>
    </w:p>
    <w:p>
      <w:pPr>
        <w:pStyle w:val="ListParagraph"/>
        <w:numPr>
          <w:ilvl w:val="0"/>
          <w:numId w:val="9"/>
        </w:numPr>
      </w:pPr>
      <w:r>
        <w:t xml:space="preserve">El director de obra ofrecido en la propuesta renuncia. El contratista propone un reemplazo con 4 años de experiencia; el pliego exigía 10. ¿Qué procede?</w:t>
      </w:r>
    </w:p>
    <w:p>
      <w:pPr>
        <w:pStyle w:val="ListParagraph"/>
        <w:numPr>
          <w:ilvl w:val="1"/>
          <w:numId w:val="10"/>
        </w:numPr>
      </w:pPr>
      <w:r>
        <w:t xml:space="preserve">a) Aceptarlo para no frenar la obra.</w:t>
      </w:r>
    </w:p>
    <w:p>
      <w:pPr>
        <w:pStyle w:val="ListParagraph"/>
        <w:numPr>
          <w:ilvl w:val="1"/>
          <w:numId w:val="10"/>
        </w:numPr>
      </w:pPr>
      <w:r>
        <w:t xml:space="preserve">b) Que el director de interventoría asuma la dirección de obra.</w:t>
      </w:r>
    </w:p>
    <w:p>
      <w:pPr>
        <w:pStyle w:val="ListParagraph"/>
        <w:numPr>
          <w:ilvl w:val="1"/>
          <w:numId w:val="10"/>
        </w:numPr>
      </w:pPr>
      <w:r>
        <w:t xml:space="preserve">c) Aceptarlo con un descuento en el valor del contrato.</w:t>
      </w:r>
    </w:p>
    <w:p>
      <w:pPr>
        <w:pStyle w:val="ListParagraph"/>
        <w:numPr>
          <w:ilvl w:val="1"/>
          <w:numId w:val="10"/>
        </w:numPr>
      </w:pPr>
      <w:r>
        <w:t xml:space="preserve">d) Exigir un reemplazo con perfil igual o superior al exigido en el pliego, aprobado antes de que asuma.</w:t>
      </w:r>
    </w:p>
    <w:p>
      <w:pPr>
        <w:pStyle w:val="ListParagraph"/>
        <w:numPr>
          <w:ilvl w:val="0"/>
          <w:numId w:val="9"/>
        </w:numPr>
      </w:pPr>
      <w:r>
        <w:t xml:space="preserve">¿Cuál es la naturaleza de la bitácora o libro de obra?</w:t>
      </w:r>
    </w:p>
    <w:p>
      <w:pPr>
        <w:pStyle w:val="ListParagraph"/>
        <w:numPr>
          <w:ilvl w:val="1"/>
          <w:numId w:val="11"/>
        </w:numPr>
      </w:pPr>
      <w:r>
        <w:t xml:space="preserve">a) El registro diario de hechos, órdenes, observaciones y condiciones de la obra, firmado por las partes, con valor probatorio.</w:t>
      </w:r>
    </w:p>
    <w:p>
      <w:pPr>
        <w:pStyle w:val="ListParagraph"/>
        <w:numPr>
          <w:ilvl w:val="1"/>
          <w:numId w:val="11"/>
        </w:numPr>
      </w:pPr>
      <w:r>
        <w:t xml:space="preserve">b) Un cuaderno informal del residente del contratista.</w:t>
      </w:r>
    </w:p>
    <w:p>
      <w:pPr>
        <w:pStyle w:val="ListParagraph"/>
        <w:numPr>
          <w:ilvl w:val="1"/>
          <w:numId w:val="11"/>
        </w:numPr>
      </w:pPr>
      <w:r>
        <w:t xml:space="preserve">c) Un documento que solo se usa para reportar accidentes.</w:t>
      </w:r>
    </w:p>
    <w:p>
      <w:pPr>
        <w:pStyle w:val="ListParagraph"/>
        <w:numPr>
          <w:ilvl w:val="1"/>
          <w:numId w:val="11"/>
        </w:numPr>
      </w:pPr>
      <w:r>
        <w:t xml:space="preserve">d) Un documento que reemplaza los informes mensuales de interventoría.</w:t>
      </w:r>
    </w:p>
    <w:p>
      <w:pPr>
        <w:pStyle w:val="ListParagraph"/>
        <w:numPr>
          <w:ilvl w:val="0"/>
          <w:numId w:val="9"/>
        </w:numPr>
      </w:pPr>
      <w:r>
        <w:t xml:space="preserve">En un contrato de interventoría y uno de supervisión sobre la misma obra, ¿qué regla aplica según el artículo 83 de la Ley 1474 de 2011?</w:t>
      </w:r>
    </w:p>
    <w:p>
      <w:pPr>
        <w:pStyle w:val="ListParagraph"/>
        <w:numPr>
          <w:ilvl w:val="1"/>
          <w:numId w:val="12"/>
        </w:numPr>
      </w:pPr>
      <w:r>
        <w:t xml:space="preserve">a) Siempre deben concurrir ambos.</w:t>
      </w:r>
    </w:p>
    <w:p>
      <w:pPr>
        <w:pStyle w:val="ListParagraph"/>
        <w:numPr>
          <w:ilvl w:val="1"/>
          <w:numId w:val="12"/>
        </w:numPr>
      </w:pPr>
      <w:r>
        <w:t xml:space="preserve">b) El supervisor siempre está subordinado al interventor.</w:t>
      </w:r>
    </w:p>
    <w:p>
      <w:pPr>
        <w:pStyle w:val="ListParagraph"/>
        <w:numPr>
          <w:ilvl w:val="1"/>
          <w:numId w:val="12"/>
        </w:numPr>
      </w:pPr>
      <w:r>
        <w:t xml:space="preserve">c) Por regla general no concurren sobre el mismo contrato, salvo que la entidad divida las actividades y lo indique en el contrato de interventoría.</w:t>
      </w:r>
    </w:p>
    <w:p>
      <w:pPr>
        <w:pStyle w:val="ListParagraph"/>
        <w:numPr>
          <w:ilvl w:val="1"/>
          <w:numId w:val="12"/>
        </w:numPr>
      </w:pPr>
      <w:r>
        <w:t xml:space="preserve">d) La interventoría solo procede en contratos de mínima cuantía.</w:t>
      </w:r>
    </w:p>
    <w:p>
      <w:pPr>
        <w:pStyle w:val="Heading3"/>
      </w:pPr>
      <w:r>
        <w:t xml:space="preserve">Control financiero y contable</w:t>
      </w:r>
    </w:p>
    <w:p>
      <w:pPr>
        <w:pStyle w:val="ListParagraph"/>
        <w:numPr>
          <w:ilvl w:val="0"/>
          <w:numId w:val="13"/>
        </w:numPr>
      </w:pPr>
      <w:r>
        <w:t xml:space="preserve">Con recursos de la fiducia del anticipo, el contratista paga el alquiler de maquinaria de otro contrato suyo. ¿Qué debe hacer el interventor?</w:t>
      </w:r>
    </w:p>
    <w:p>
      <w:pPr>
        <w:pStyle w:val="ListParagraph"/>
        <w:numPr>
          <w:ilvl w:val="1"/>
          <w:numId w:val="14"/>
        </w:numPr>
      </w:pPr>
      <w:r>
        <w:t xml:space="preserve">a) Aceptarlo si el contratista promete reintegrar.</w:t>
      </w:r>
    </w:p>
    <w:p>
      <w:pPr>
        <w:pStyle w:val="ListParagraph"/>
        <w:numPr>
          <w:ilvl w:val="1"/>
          <w:numId w:val="14"/>
        </w:numPr>
      </w:pPr>
      <w:r>
        <w:t xml:space="preserve">b) Tratarlo como uso indebido del anticipo: informar a la entidad, exigir el reintegro y documentar el hecho para una posible reclamación al amparo de buen manejo del anticipo.</w:t>
      </w:r>
    </w:p>
    <w:p>
      <w:pPr>
        <w:pStyle w:val="ListParagraph"/>
        <w:numPr>
          <w:ilvl w:val="1"/>
          <w:numId w:val="14"/>
        </w:numPr>
      </w:pPr>
      <w:r>
        <w:t xml:space="preserve">c) Imponer él mismo una multa al contratista.</w:t>
      </w:r>
    </w:p>
    <w:p>
      <w:pPr>
        <w:pStyle w:val="ListParagraph"/>
        <w:numPr>
          <w:ilvl w:val="1"/>
          <w:numId w:val="14"/>
        </w:numPr>
      </w:pPr>
      <w:r>
        <w:t xml:space="preserve">d) Nada, porque el anticipo es del contratista desde que se gira.</w:t>
      </w:r>
    </w:p>
    <w:p>
      <w:pPr>
        <w:pStyle w:val="ListParagraph"/>
        <w:numPr>
          <w:ilvl w:val="0"/>
          <w:numId w:val="13"/>
        </w:numPr>
      </w:pPr>
      <w:r>
        <w:t xml:space="preserve">Según el artículo 91 de la Ley 1474 de 2011, en contratos de obra adjudicados por licitación, el anticipo debe manejarse mediante:</w:t>
      </w:r>
    </w:p>
    <w:p>
      <w:pPr>
        <w:pStyle w:val="ListParagraph"/>
        <w:numPr>
          <w:ilvl w:val="1"/>
          <w:numId w:val="15"/>
        </w:numPr>
      </w:pPr>
      <w:r>
        <w:t xml:space="preserve">a) Una cuenta de ahorros a nombre del contratista.</w:t>
      </w:r>
    </w:p>
    <w:p>
      <w:pPr>
        <w:pStyle w:val="ListParagraph"/>
        <w:numPr>
          <w:ilvl w:val="1"/>
          <w:numId w:val="15"/>
        </w:numPr>
      </w:pPr>
      <w:r>
        <w:t xml:space="preserve">b) Un CDT a nombre de la entidad.</w:t>
      </w:r>
    </w:p>
    <w:p>
      <w:pPr>
        <w:pStyle w:val="ListParagraph"/>
        <w:numPr>
          <w:ilvl w:val="1"/>
          <w:numId w:val="15"/>
        </w:numPr>
      </w:pPr>
      <w:r>
        <w:t xml:space="preserve">c) Pagos en efectivo autorizados por el interventor.</w:t>
      </w:r>
    </w:p>
    <w:p>
      <w:pPr>
        <w:pStyle w:val="ListParagraph"/>
        <w:numPr>
          <w:ilvl w:val="1"/>
          <w:numId w:val="15"/>
        </w:numPr>
      </w:pPr>
      <w:r>
        <w:t xml:space="preserve">d) Una fiducia o patrimonio autónomo irrevocable.</w:t>
      </w:r>
    </w:p>
    <w:p>
      <w:pPr>
        <w:pStyle w:val="ListParagraph"/>
        <w:numPr>
          <w:ilvl w:val="0"/>
          <w:numId w:val="13"/>
        </w:numPr>
      </w:pPr>
      <w:r>
        <w:t xml:space="preserve">El contratista no acredita el pago de aportes a seguridad social del mes. Tiene un acta de obra de $800 millones lista. ¿Qué hace el interventor?</w:t>
      </w:r>
    </w:p>
    <w:p>
      <w:pPr>
        <w:pStyle w:val="ListParagraph"/>
        <w:numPr>
          <w:ilvl w:val="1"/>
          <w:numId w:val="16"/>
        </w:numPr>
      </w:pPr>
      <w:r>
        <w:t xml:space="preserve">a) Condiciona el trámite a que se acredite el pago de aportes, como lo exige la ley para cada pago, e informa a la entidad.</w:t>
      </w:r>
    </w:p>
    <w:p>
      <w:pPr>
        <w:pStyle w:val="ListParagraph"/>
        <w:numPr>
          <w:ilvl w:val="1"/>
          <w:numId w:val="16"/>
        </w:numPr>
      </w:pPr>
      <w:r>
        <w:t xml:space="preserve">b) Tramita el pago y verifica los aportes después.</w:t>
      </w:r>
    </w:p>
    <w:p>
      <w:pPr>
        <w:pStyle w:val="ListParagraph"/>
        <w:numPr>
          <w:ilvl w:val="1"/>
          <w:numId w:val="16"/>
        </w:numPr>
      </w:pPr>
      <w:r>
        <w:t xml:space="preserve">c) Paga directamente a las EPS con cargo al acta.</w:t>
      </w:r>
    </w:p>
    <w:p>
      <w:pPr>
        <w:pStyle w:val="ListParagraph"/>
        <w:numPr>
          <w:ilvl w:val="1"/>
          <w:numId w:val="16"/>
        </w:numPr>
      </w:pPr>
      <w:r>
        <w:t xml:space="preserve">d) Retiene el 10 % del acta como garantía.</w:t>
      </w:r>
    </w:p>
    <w:p>
      <w:pPr>
        <w:pStyle w:val="ListParagraph"/>
        <w:numPr>
          <w:ilvl w:val="0"/>
          <w:numId w:val="13"/>
        </w:numPr>
      </w:pPr>
      <w:r>
        <w:t xml:space="preserve">La fórmula de reajuste pactada usa el ICCP del DANE del mes de ejecución. El contratista liquida con el índice del mes de pago, que es mayor. ¿Qué procede?</w:t>
      </w:r>
    </w:p>
    <w:p>
      <w:pPr>
        <w:pStyle w:val="ListParagraph"/>
        <w:numPr>
          <w:ilvl w:val="1"/>
          <w:numId w:val="17"/>
        </w:numPr>
      </w:pPr>
      <w:r>
        <w:t xml:space="preserve">a) Aceptar, porque el índice más reciente refleja mejor los costos.</w:t>
      </w:r>
    </w:p>
    <w:p>
      <w:pPr>
        <w:pStyle w:val="ListParagraph"/>
        <w:numPr>
          <w:ilvl w:val="1"/>
          <w:numId w:val="17"/>
        </w:numPr>
      </w:pPr>
      <w:r>
        <w:t xml:space="preserve">b) Promediar ambos índices.</w:t>
      </w:r>
    </w:p>
    <w:p>
      <w:pPr>
        <w:pStyle w:val="ListParagraph"/>
        <w:numPr>
          <w:ilvl w:val="1"/>
          <w:numId w:val="17"/>
        </w:numPr>
      </w:pPr>
      <w:r>
        <w:t xml:space="preserve">c) Corregir el cálculo y aplicar la fórmula y los índices exactamente como se pactaron.</w:t>
      </w:r>
    </w:p>
    <w:p>
      <w:pPr>
        <w:pStyle w:val="ListParagraph"/>
        <w:numPr>
          <w:ilvl w:val="1"/>
          <w:numId w:val="17"/>
        </w:numPr>
      </w:pPr>
      <w:r>
        <w:t xml:space="preserve">d) Suspender los reajustes hasta la liquidación.</w:t>
      </w:r>
    </w:p>
    <w:p>
      <w:pPr>
        <w:pStyle w:val="Heading3"/>
      </w:pPr>
      <w:r>
        <w:t xml:space="preserve">Control jurídico</w:t>
      </w:r>
    </w:p>
    <w:p>
      <w:pPr>
        <w:pStyle w:val="ListParagraph"/>
        <w:numPr>
          <w:ilvl w:val="0"/>
          <w:numId w:val="18"/>
        </w:numPr>
      </w:pPr>
      <w:r>
        <w:t xml:space="preserve">Un contrato de obra de valor inicial $10.000 millones ya tiene adiciones por $4.000 millones (valores expresados en SMMLV). Se necesitan $1.500 millones más. ¿Es viable otra adición?</w:t>
      </w:r>
    </w:p>
    <w:p>
      <w:pPr>
        <w:pStyle w:val="ListParagraph"/>
        <w:numPr>
          <w:ilvl w:val="1"/>
          <w:numId w:val="19"/>
        </w:numPr>
      </w:pPr>
      <w:r>
        <w:t xml:space="preserve">a) No, porque superaría el 50 % del valor inicial (parágrafo del artículo 40 de la Ley 80 de 1993).</w:t>
      </w:r>
    </w:p>
    <w:p>
      <w:pPr>
        <w:pStyle w:val="ListParagraph"/>
        <w:numPr>
          <w:ilvl w:val="1"/>
          <w:numId w:val="19"/>
        </w:numPr>
      </w:pPr>
      <w:r>
        <w:t xml:space="preserve">b) Sí, con aprobación del interventor.</w:t>
      </w:r>
    </w:p>
    <w:p>
      <w:pPr>
        <w:pStyle w:val="ListParagraph"/>
        <w:numPr>
          <w:ilvl w:val="1"/>
          <w:numId w:val="19"/>
        </w:numPr>
      </w:pPr>
      <w:r>
        <w:t xml:space="preserve">c) Sí, si el contratista amplía las garantías.</w:t>
      </w:r>
    </w:p>
    <w:p>
      <w:pPr>
        <w:pStyle w:val="ListParagraph"/>
        <w:numPr>
          <w:ilvl w:val="1"/>
          <w:numId w:val="19"/>
        </w:numPr>
      </w:pPr>
      <w:r>
        <w:t xml:space="preserve">d) Sí, porque el límite del 50 % solo aplica a contratos de consultoría.</w:t>
      </w:r>
    </w:p>
    <w:p>
      <w:pPr>
        <w:pStyle w:val="ListParagraph"/>
        <w:numPr>
          <w:ilvl w:val="0"/>
          <w:numId w:val="18"/>
        </w:numPr>
      </w:pPr>
      <w:r>
        <w:t xml:space="preserve">Faltan 5 días para el vencimiento del plazo y la obra va en 85 %. ¿Qué afirmación es correcta?</w:t>
      </w:r>
    </w:p>
    <w:p>
      <w:pPr>
        <w:pStyle w:val="ListParagraph"/>
        <w:numPr>
          <w:ilvl w:val="1"/>
          <w:numId w:val="20"/>
        </w:numPr>
      </w:pPr>
      <w:r>
        <w:t xml:space="preserve">a) La prórroga puede firmarse después del vencimiento si hay justificación.</w:t>
      </w:r>
    </w:p>
    <w:p>
      <w:pPr>
        <w:pStyle w:val="ListParagraph"/>
        <w:numPr>
          <w:ilvl w:val="1"/>
          <w:numId w:val="20"/>
        </w:numPr>
      </w:pPr>
      <w:r>
        <w:t xml:space="preserve">b) El interventor puede prorrogar el plazo por orden en bitácora.</w:t>
      </w:r>
    </w:p>
    <w:p>
      <w:pPr>
        <w:pStyle w:val="ListParagraph"/>
        <w:numPr>
          <w:ilvl w:val="1"/>
          <w:numId w:val="20"/>
        </w:numPr>
      </w:pPr>
      <w:r>
        <w:t xml:space="preserve">c) Vencido el plazo, el contratista puede seguir trabajando sin documento alguno.</w:t>
      </w:r>
    </w:p>
    <w:p>
      <w:pPr>
        <w:pStyle w:val="ListParagraph"/>
        <w:numPr>
          <w:ilvl w:val="1"/>
          <w:numId w:val="20"/>
        </w:numPr>
      </w:pPr>
      <w:r>
        <w:t xml:space="preserve">d) La prórroga debe suscribirse antes del vencimiento, con concepto que justifique la causa y ampliación de las garantías; el interventor debió advertir el riesgo con anticipación.</w:t>
      </w:r>
    </w:p>
    <w:p>
      <w:pPr>
        <w:pStyle w:val="ListParagraph"/>
        <w:numPr>
          <w:ilvl w:val="0"/>
          <w:numId w:val="18"/>
        </w:numPr>
      </w:pPr>
      <w:r>
        <w:t xml:space="preserve">Ante un atraso del 20 % frente a lo programado, ¿quién impone la multa?</w:t>
      </w:r>
    </w:p>
    <w:p>
      <w:pPr>
        <w:pStyle w:val="ListParagraph"/>
        <w:numPr>
          <w:ilvl w:val="1"/>
          <w:numId w:val="21"/>
        </w:numPr>
      </w:pPr>
      <w:r>
        <w:t xml:space="preserve">a) El interventor, mediante orden escrita.</w:t>
      </w:r>
    </w:p>
    <w:p>
      <w:pPr>
        <w:pStyle w:val="ListParagraph"/>
        <w:numPr>
          <w:ilvl w:val="1"/>
          <w:numId w:val="21"/>
        </w:numPr>
      </w:pPr>
      <w:r>
        <w:t xml:space="preserve">b) La entidad, mediante acto administrativo, después de la audiencia del artículo 86 de la Ley 1474 con el contratista y la aseguradora, con base en el informe del interventor.</w:t>
      </w:r>
    </w:p>
    <w:p>
      <w:pPr>
        <w:pStyle w:val="ListParagraph"/>
        <w:numPr>
          <w:ilvl w:val="1"/>
          <w:numId w:val="21"/>
        </w:numPr>
      </w:pPr>
      <w:r>
        <w:t xml:space="preserve">c) La aseguradora.</w:t>
      </w:r>
    </w:p>
    <w:p>
      <w:pPr>
        <w:pStyle w:val="ListParagraph"/>
        <w:numPr>
          <w:ilvl w:val="1"/>
          <w:numId w:val="21"/>
        </w:numPr>
      </w:pPr>
      <w:r>
        <w:t xml:space="preserve">d) El juez del contrato, de forma directa.</w:t>
      </w:r>
    </w:p>
    <w:p>
      <w:pPr>
        <w:pStyle w:val="ListParagraph"/>
        <w:numPr>
          <w:ilvl w:val="0"/>
          <w:numId w:val="18"/>
        </w:numPr>
      </w:pPr>
      <w:r>
        <w:t xml:space="preserve">El interventor conocía un incumplimiento grave y no lo informó a tiempo. ¿Cuál es su situación?</w:t>
      </w:r>
    </w:p>
    <w:p>
      <w:pPr>
        <w:pStyle w:val="ListParagraph"/>
        <w:numPr>
          <w:ilvl w:val="1"/>
          <w:numId w:val="22"/>
        </w:numPr>
      </w:pPr>
      <w:r>
        <w:t xml:space="preserve">a) No tiene responsabilidad, porque el incumplimiento es del contratista.</w:t>
      </w:r>
    </w:p>
    <w:p>
      <w:pPr>
        <w:pStyle w:val="ListParagraph"/>
        <w:numPr>
          <w:ilvl w:val="1"/>
          <w:numId w:val="22"/>
        </w:numPr>
      </w:pPr>
      <w:r>
        <w:t xml:space="preserve">b) Solo puede recibir un llamado de atención.</w:t>
      </w:r>
    </w:p>
    <w:p>
      <w:pPr>
        <w:pStyle w:val="ListParagraph"/>
        <w:numPr>
          <w:ilvl w:val="1"/>
          <w:numId w:val="22"/>
        </w:numPr>
      </w:pPr>
      <w:r>
        <w:t xml:space="preserve">c) Es solidariamente responsable con el contratista por los perjuicios que le sean imputables (artículo 84 de la Ley 1474 de 2011).</w:t>
      </w:r>
    </w:p>
    <w:p>
      <w:pPr>
        <w:pStyle w:val="ListParagraph"/>
        <w:numPr>
          <w:ilvl w:val="1"/>
          <w:numId w:val="22"/>
        </w:numPr>
      </w:pPr>
      <w:r>
        <w:t xml:space="preserve">d) Responde únicamente si es servidor público.</w:t>
      </w:r>
    </w:p>
    <w:p>
      <w:pPr>
        <w:pStyle w:val="Heading3"/>
      </w:pPr>
      <w:r>
        <w:t xml:space="preserve">Control ambiental, social y predial</w:t>
      </w:r>
    </w:p>
    <w:p>
      <w:pPr>
        <w:pStyle w:val="ListParagraph"/>
        <w:numPr>
          <w:ilvl w:val="0"/>
          <w:numId w:val="23"/>
        </w:numPr>
      </w:pPr>
      <w:r>
        <w:t xml:space="preserve">En una vía terciaria, el contratista dispone material sobrante en un predio no autorizado junto a una quebrada. ¿Qué debe hacer el interventor?</w:t>
      </w:r>
    </w:p>
    <w:p>
      <w:pPr>
        <w:pStyle w:val="ListParagraph"/>
        <w:numPr>
          <w:ilvl w:val="1"/>
          <w:numId w:val="24"/>
        </w:numPr>
      </w:pPr>
      <w:r>
        <w:t xml:space="preserve">a) Ordenar parar la actividad, exigir el retiro y la disposición en un sitio autorizado (ZODME o escombrera), informar a la entidad y, si hay afectación, a la autoridad ambiental.</w:t>
      </w:r>
    </w:p>
    <w:p>
      <w:pPr>
        <w:pStyle w:val="ListParagraph"/>
        <w:numPr>
          <w:ilvl w:val="1"/>
          <w:numId w:val="24"/>
        </w:numPr>
      </w:pPr>
      <w:r>
        <w:t xml:space="preserve">b) Pedirle que lo nivele con buldozer.</w:t>
      </w:r>
    </w:p>
    <w:p>
      <w:pPr>
        <w:pStyle w:val="ListParagraph"/>
        <w:numPr>
          <w:ilvl w:val="1"/>
          <w:numId w:val="24"/>
        </w:numPr>
      </w:pPr>
      <w:r>
        <w:t xml:space="preserve">c) Aceptarlo si el propietario del predio firma una autorización.</w:t>
      </w:r>
    </w:p>
    <w:p>
      <w:pPr>
        <w:pStyle w:val="ListParagraph"/>
        <w:numPr>
          <w:ilvl w:val="1"/>
          <w:numId w:val="24"/>
        </w:numPr>
      </w:pPr>
      <w:r>
        <w:t xml:space="preserve">d) Esperar a la visita de la autoridad ambiental.</w:t>
      </w:r>
    </w:p>
    <w:p>
      <w:pPr>
        <w:pStyle w:val="ListParagraph"/>
        <w:numPr>
          <w:ilvl w:val="0"/>
          <w:numId w:val="23"/>
        </w:numPr>
      </w:pPr>
      <w:r>
        <w:t xml:space="preserve">El trazado de un acueducto exige talar 40 árboles. Aún no hay permiso de aprovechamiento forestal de la corporación autónoma regional. El contratista quiere avanzar.</w:t>
      </w:r>
    </w:p>
    <w:p>
      <w:pPr>
        <w:pStyle w:val="ListParagraph"/>
        <w:numPr>
          <w:ilvl w:val="1"/>
          <w:numId w:val="25"/>
        </w:numPr>
      </w:pPr>
      <w:r>
        <w:t xml:space="preserve">a) Se permite la tala y se tramita el permiso en paralelo.</w:t>
      </w:r>
    </w:p>
    <w:p>
      <w:pPr>
        <w:pStyle w:val="ListParagraph"/>
        <w:numPr>
          <w:ilvl w:val="1"/>
          <w:numId w:val="25"/>
        </w:numPr>
      </w:pPr>
      <w:r>
        <w:t xml:space="preserve">b) Se permite si se compensa con el doble de árboles.</w:t>
      </w:r>
    </w:p>
    <w:p>
      <w:pPr>
        <w:pStyle w:val="ListParagraph"/>
        <w:numPr>
          <w:ilvl w:val="1"/>
          <w:numId w:val="25"/>
        </w:numPr>
      </w:pPr>
      <w:r>
        <w:t xml:space="preserve">c) Se permite si la comunidad está de acuerdo.</w:t>
      </w:r>
    </w:p>
    <w:p>
      <w:pPr>
        <w:pStyle w:val="ListParagraph"/>
        <w:numPr>
          <w:ilvl w:val="1"/>
          <w:numId w:val="25"/>
        </w:numPr>
      </w:pPr>
      <w:r>
        <w:t xml:space="preserve">d) No se permite la tala hasta obtener el permiso; se reprograma el frente y se registra el impacto en el cronograma.</w:t>
      </w:r>
    </w:p>
    <w:p>
      <w:pPr>
        <w:pStyle w:val="ListParagraph"/>
        <w:numPr>
          <w:ilvl w:val="0"/>
          <w:numId w:val="23"/>
        </w:numPr>
      </w:pPr>
      <w:r>
        <w:t xml:space="preserve">Vecinos de una obra de alcantarillado reportan grietas en sus casas y bloquean la calle. ¿Qué documento es clave para atender el reclamo?</w:t>
      </w:r>
    </w:p>
    <w:p>
      <w:pPr>
        <w:pStyle w:val="ListParagraph"/>
        <w:numPr>
          <w:ilvl w:val="1"/>
          <w:numId w:val="26"/>
        </w:numPr>
      </w:pPr>
      <w:r>
        <w:t xml:space="preserve">a) El acta de inicio.</w:t>
      </w:r>
    </w:p>
    <w:p>
      <w:pPr>
        <w:pStyle w:val="ListParagraph"/>
        <w:numPr>
          <w:ilvl w:val="1"/>
          <w:numId w:val="26"/>
        </w:numPr>
      </w:pPr>
      <w:r>
        <w:t xml:space="preserve">b) La póliza de cumplimiento.</w:t>
      </w:r>
    </w:p>
    <w:p>
      <w:pPr>
        <w:pStyle w:val="ListParagraph"/>
        <w:numPr>
          <w:ilvl w:val="1"/>
          <w:numId w:val="26"/>
        </w:numPr>
      </w:pPr>
      <w:r>
        <w:t xml:space="preserve">c) Las actas de vecindad levantadas antes de la intervención, con registro fotográfico.</w:t>
      </w:r>
    </w:p>
    <w:p>
      <w:pPr>
        <w:pStyle w:val="ListParagraph"/>
        <w:numPr>
          <w:ilvl w:val="1"/>
          <w:numId w:val="26"/>
        </w:numPr>
      </w:pPr>
      <w:r>
        <w:t xml:space="preserve">d) El informe financiero mensual.</w:t>
      </w:r>
    </w:p>
    <w:p>
      <w:pPr>
        <w:pStyle w:val="ListParagraph"/>
        <w:numPr>
          <w:ilvl w:val="0"/>
          <w:numId w:val="23"/>
        </w:numPr>
      </w:pPr>
      <w:r>
        <w:t xml:space="preserve">Durante la excavación de una vía aparecen restos cerámicos y óseos. ¿Qué procede?</w:t>
      </w:r>
    </w:p>
    <w:p>
      <w:pPr>
        <w:pStyle w:val="ListParagraph"/>
        <w:numPr>
          <w:ilvl w:val="1"/>
          <w:numId w:val="27"/>
        </w:numPr>
      </w:pPr>
      <w:r>
        <w:t xml:space="preserve">a) Continuar y retirar los restos con la volqueta.</w:t>
      </w:r>
    </w:p>
    <w:p>
      <w:pPr>
        <w:pStyle w:val="ListParagraph"/>
        <w:numPr>
          <w:ilvl w:val="1"/>
          <w:numId w:val="27"/>
        </w:numPr>
      </w:pPr>
      <w:r>
        <w:t xml:space="preserve">b) Suspender la excavación en el área, proteger el hallazgo e informar al ICANH, aplicando el programa de arqueología preventiva.</w:t>
      </w:r>
    </w:p>
    <w:p>
      <w:pPr>
        <w:pStyle w:val="ListParagraph"/>
        <w:numPr>
          <w:ilvl w:val="1"/>
          <w:numId w:val="27"/>
        </w:numPr>
      </w:pPr>
      <w:r>
        <w:t xml:space="preserve">c) Entregar los restos a la alcaldía.</w:t>
      </w:r>
    </w:p>
    <w:p>
      <w:pPr>
        <w:pStyle w:val="ListParagraph"/>
        <w:numPr>
          <w:ilvl w:val="1"/>
          <w:numId w:val="27"/>
        </w:numPr>
      </w:pPr>
      <w:r>
        <w:t xml:space="preserve">d) Continuar y reportarlo en el informe final.</w:t>
      </w:r>
    </w:p>
    <w:p>
      <w:pPr>
        <w:pStyle w:val="ListParagraph"/>
        <w:numPr>
          <w:ilvl w:val="0"/>
          <w:numId w:val="23"/>
        </w:numPr>
      </w:pPr>
      <w:r>
        <w:t xml:space="preserve">En una concesión vial a cargo de la ANI, la entrega de un predio está atrasada y frena un frente. ¿Qué debe verificar el interventor?</w:t>
      </w:r>
    </w:p>
    <w:p>
      <w:pPr>
        <w:pStyle w:val="ListParagraph"/>
        <w:numPr>
          <w:ilvl w:val="1"/>
          <w:numId w:val="28"/>
        </w:numPr>
      </w:pPr>
      <w:r>
        <w:t xml:space="preserve">a) Solo el avance físico de los demás frentes.</w:t>
      </w:r>
    </w:p>
    <w:p>
      <w:pPr>
        <w:pStyle w:val="ListParagraph"/>
        <w:numPr>
          <w:ilvl w:val="1"/>
          <w:numId w:val="28"/>
        </w:numPr>
      </w:pPr>
      <w:r>
        <w:t xml:space="preserve">b) Que el concesionario ocupe el predio sin título.</w:t>
      </w:r>
    </w:p>
    <w:p>
      <w:pPr>
        <w:pStyle w:val="ListParagraph"/>
        <w:numPr>
          <w:ilvl w:val="1"/>
          <w:numId w:val="28"/>
        </w:numPr>
      </w:pPr>
      <w:r>
        <w:t xml:space="preserve">c) Nada, porque la gestión predial no es objeto de interventoría.</w:t>
      </w:r>
    </w:p>
    <w:p>
      <w:pPr>
        <w:pStyle w:val="ListParagraph"/>
        <w:numPr>
          <w:ilvl w:val="1"/>
          <w:numId w:val="28"/>
        </w:numPr>
      </w:pPr>
      <w:r>
        <w:t xml:space="preserve">d) El estado de la gestión predial (fichas, avalúos, ofertas, expropiación) frente al cronograma y a la distribución del riesgo predial pactada.</w:t>
      </w:r>
    </w:p>
    <w:p>
      <w:pPr>
        <w:pStyle w:val="Heading3"/>
      </w:pPr>
      <w:r>
        <w:t xml:space="preserve">SST, tráfico y operación</w:t>
      </w:r>
    </w:p>
    <w:p>
      <w:pPr>
        <w:pStyle w:val="ListParagraph"/>
        <w:numPr>
          <w:ilvl w:val="0"/>
          <w:numId w:val="29"/>
        </w:numPr>
      </w:pPr>
      <w:r>
        <w:t xml:space="preserve">En una edificación, el interventor ve a trabajadores en el cuarto piso sin arnés y sin certificado de trabajo en alturas. ¿Qué hace?</w:t>
      </w:r>
    </w:p>
    <w:p>
      <w:pPr>
        <w:pStyle w:val="ListParagraph"/>
        <w:numPr>
          <w:ilvl w:val="1"/>
          <w:numId w:val="30"/>
        </w:numPr>
      </w:pPr>
      <w:r>
        <w:t xml:space="preserve">a) Lo anota para el informe mensual.</w:t>
      </w:r>
    </w:p>
    <w:p>
      <w:pPr>
        <w:pStyle w:val="ListParagraph"/>
        <w:numPr>
          <w:ilvl w:val="1"/>
          <w:numId w:val="30"/>
        </w:numPr>
      </w:pPr>
      <w:r>
        <w:t xml:space="preserve">b) Le sugiere al residente que hable con los trabajadores.</w:t>
      </w:r>
    </w:p>
    <w:p>
      <w:pPr>
        <w:pStyle w:val="ListParagraph"/>
        <w:numPr>
          <w:ilvl w:val="1"/>
          <w:numId w:val="30"/>
        </w:numPr>
      </w:pPr>
      <w:r>
        <w:t xml:space="preserve">c) Ordena detener la actividad de inmediato, exige cumplir la Resolución 4272 de 2021 y el SG-SST, y lo registra e informa.</w:t>
      </w:r>
    </w:p>
    <w:p>
      <w:pPr>
        <w:pStyle w:val="ListParagraph"/>
        <w:numPr>
          <w:ilvl w:val="1"/>
          <w:numId w:val="30"/>
        </w:numPr>
      </w:pPr>
      <w:r>
        <w:t xml:space="preserve">d) Nada, porque la SST es responsabilidad exclusiva de la ARL.</w:t>
      </w:r>
    </w:p>
    <w:p>
      <w:pPr>
        <w:pStyle w:val="ListParagraph"/>
        <w:numPr>
          <w:ilvl w:val="0"/>
          <w:numId w:val="29"/>
        </w:numPr>
      </w:pPr>
      <w:r>
        <w:t xml:space="preserve">En una obra urbana del IDU, el contratista quiere cerrar un carril sin PMT aprobado por la Secretaría de Movilidad.</w:t>
      </w:r>
    </w:p>
    <w:p>
      <w:pPr>
        <w:pStyle w:val="ListParagraph"/>
        <w:numPr>
          <w:ilvl w:val="1"/>
          <w:numId w:val="31"/>
        </w:numPr>
      </w:pPr>
      <w:r>
        <w:t xml:space="preserve">a) No se permite intervenir la vía hasta tener el PMT aprobado e implementado.</w:t>
      </w:r>
    </w:p>
    <w:p>
      <w:pPr>
        <w:pStyle w:val="ListParagraph"/>
        <w:numPr>
          <w:ilvl w:val="1"/>
          <w:numId w:val="31"/>
        </w:numPr>
      </w:pPr>
      <w:r>
        <w:t xml:space="preserve">b) Se permite si pone conos y un paletero.</w:t>
      </w:r>
    </w:p>
    <w:p>
      <w:pPr>
        <w:pStyle w:val="ListParagraph"/>
        <w:numPr>
          <w:ilvl w:val="1"/>
          <w:numId w:val="31"/>
        </w:numPr>
      </w:pPr>
      <w:r>
        <w:t xml:space="preserve">c) Se permite en horario nocturno.</w:t>
      </w:r>
    </w:p>
    <w:p>
      <w:pPr>
        <w:pStyle w:val="ListParagraph"/>
        <w:numPr>
          <w:ilvl w:val="1"/>
          <w:numId w:val="31"/>
        </w:numPr>
      </w:pPr>
      <w:r>
        <w:t xml:space="preserve">d) Se permite y el PMT se tramita después.</w:t>
      </w:r>
    </w:p>
    <w:p>
      <w:pPr>
        <w:pStyle w:val="ListParagraph"/>
        <w:numPr>
          <w:ilvl w:val="0"/>
          <w:numId w:val="29"/>
        </w:numPr>
      </w:pPr>
      <w:r>
        <w:t xml:space="preserve">En la etapa de operación y mantenimiento de una APP vial, el índice de estado del pavimento de un tramo no cumple el nivel de servicio pactado. ¿Qué consecuencia contractual verifica el interventor?</w:t>
      </w:r>
    </w:p>
    <w:p>
      <w:pPr>
        <w:pStyle w:val="ListParagraph"/>
        <w:numPr>
          <w:ilvl w:val="1"/>
          <w:numId w:val="32"/>
        </w:numPr>
      </w:pPr>
      <w:r>
        <w:t xml:space="preserve">a) Ninguna, porque los indicadores solo se miden al final de la concesión.</w:t>
      </w:r>
    </w:p>
    <w:p>
      <w:pPr>
        <w:pStyle w:val="ListParagraph"/>
        <w:numPr>
          <w:ilvl w:val="1"/>
          <w:numId w:val="32"/>
        </w:numPr>
      </w:pPr>
      <w:r>
        <w:t xml:space="preserve">b) La terminación inmediata del contrato.</w:t>
      </w:r>
    </w:p>
    <w:p>
      <w:pPr>
        <w:pStyle w:val="ListParagraph"/>
        <w:numPr>
          <w:ilvl w:val="1"/>
          <w:numId w:val="32"/>
        </w:numPr>
      </w:pPr>
      <w:r>
        <w:t xml:space="preserve">c) Una multa que impone el interventor.</w:t>
      </w:r>
    </w:p>
    <w:p>
      <w:pPr>
        <w:pStyle w:val="ListParagraph"/>
        <w:numPr>
          <w:ilvl w:val="1"/>
          <w:numId w:val="32"/>
        </w:numPr>
      </w:pPr>
      <w:r>
        <w:t xml:space="preserve">d) La aplicación de las deducciones a la retribución previstas en el contrato, además de exigir la corrección en el plazo de cura.</w:t>
      </w:r>
    </w:p>
    <w:p>
      <w:pPr>
        <w:pStyle w:val="ListParagraph"/>
        <w:numPr>
          <w:ilvl w:val="0"/>
          <w:numId w:val="29"/>
        </w:numPr>
      </w:pPr>
      <w:r>
        <w:t xml:space="preserve">Para la liquidación de un contrato de obra, ¿cuál es la regla de plazos del artículo 11 de la Ley 1150 de 2007?</w:t>
      </w:r>
    </w:p>
    <w:p>
      <w:pPr>
        <w:pStyle w:val="ListParagraph"/>
        <w:numPr>
          <w:ilvl w:val="1"/>
          <w:numId w:val="33"/>
        </w:numPr>
      </w:pPr>
      <w:r>
        <w:t xml:space="preserve">a) Solo dentro del mes siguiente a la terminación.</w:t>
      </w:r>
    </w:p>
    <w:p>
      <w:pPr>
        <w:pStyle w:val="ListParagraph"/>
        <w:numPr>
          <w:ilvl w:val="1"/>
          <w:numId w:val="33"/>
        </w:numPr>
      </w:pPr>
      <w:r>
        <w:t xml:space="preserve">b) Liquidación bilateral en el plazo pactado o, si no hay, dentro de los 4 meses siguientes a la terminación; si no se logra, unilateral en los 2 meses siguientes; y si no, bilateral o unilateral dentro de los 2 años siguientes.</w:t>
      </w:r>
    </w:p>
    <w:p>
      <w:pPr>
        <w:pStyle w:val="ListParagraph"/>
        <w:numPr>
          <w:ilvl w:val="1"/>
          <w:numId w:val="33"/>
        </w:numPr>
      </w:pPr>
      <w:r>
        <w:t xml:space="preserve">c) En cualquier momento, sin límite.</w:t>
      </w:r>
    </w:p>
    <w:p>
      <w:pPr>
        <w:pStyle w:val="ListParagraph"/>
        <w:numPr>
          <w:ilvl w:val="1"/>
          <w:numId w:val="33"/>
        </w:numPr>
      </w:pPr>
      <w:r>
        <w:t xml:space="preserve">d) Solo cuando el interventor lo decida.</w:t>
      </w:r>
    </w:p>
    <w:p>
      <w:pPr>
        <w:pStyle w:val="Heading2"/>
      </w:pPr>
      <w:r>
        <w:t xml:space="preserve">Parte II. Casos de estudio por tipo de obra (40 puntos)</w:t>
      </w:r>
    </w:p>
    <w:p>
      <w:pPr/>
      <w:r>
        <w:t xml:space="preserve">Responda las 4 preguntas de cada caso. Cada pregunta vale 2 puntos. En cada respuesta indique el tipo de control, la acción concreta, el documento que la soporta y a quién se informa.</w:t>
      </w:r>
    </w:p>
    <w:p>
      <w:pPr>
        <w:pStyle w:val="Heading3"/>
      </w:pPr>
      <w:r>
        <w:t xml:space="preserve">Caso A. Rehabilitación de una vía secundaria (entidad del orden nacional)</w:t>
      </w:r>
    </w:p>
    <w:p>
      <w:pPr/>
      <w:r>
        <w:t xml:space="preserve">Contrato de obra a precios unitarios por $28.000 millones y 12 meses para rehabilitar 18 km de vía. En el mes 5 el avance físico es 28 %; el programado era 45 %. El contratista atribuye el atraso a lluvias y a que la fuente de materiales que ofertó no tiene título minero ni licencia ambiental vigentes. El acta de obra del mes incluye 3.000 m³ de subbase granular cuyos ensayos de laboratorio aún no se han entregado. En el PR 12+300 aparece una falla geológica activa; la solución es un muro de contención anclado, no previsto, estimado en $2.100 millones.</w:t>
      </w:r>
    </w:p>
    <w:p>
      <w:pPr>
        <w:pStyle w:val="ListParagraph"/>
        <w:numPr>
          <w:ilvl w:val="0"/>
          <w:numId w:val="34"/>
        </w:numPr>
      </w:pPr>
      <w:r>
        <w:t xml:space="preserve">¿Cómo determina el interventor si el atraso es imputable al contratista o a causas externas? Indique qué información recoge y qué análisis hace.</w:t>
      </w:r>
    </w:p>
    <w:p>
      <w:pPr>
        <w:pStyle w:val="ListParagraph"/>
        <w:numPr>
          <w:ilvl w:val="0"/>
          <w:numId w:val="34"/>
        </w:numPr>
      </w:pPr>
      <w:r>
        <w:t xml:space="preserve">¿Qué hace con los 3.000 m³ de subbase incluidos en el acta sin ensayos?</w:t>
      </w:r>
    </w:p>
    <w:p>
      <w:pPr>
        <w:pStyle w:val="ListParagraph"/>
        <w:numPr>
          <w:ilvl w:val="0"/>
          <w:numId w:val="34"/>
        </w:numPr>
      </w:pPr>
      <w:r>
        <w:t xml:space="preserve">Describa el trámite completo para que el muro del PR 12+300 se pueda ejecutar y pagar.</w:t>
      </w:r>
    </w:p>
    <w:p>
      <w:pPr>
        <w:pStyle w:val="ListParagraph"/>
        <w:numPr>
          <w:ilvl w:val="0"/>
          <w:numId w:val="34"/>
        </w:numPr>
      </w:pPr>
      <w:r>
        <w:t xml:space="preserve">¿Qué debe exigir respecto a la fuente de materiales y qué consecuencias tiene usar una fuente sin título minero ni licencia?</w:t>
      </w:r>
    </w:p>
    <w:p>
      <w:pPr>
        <w:pStyle w:val="Heading3"/>
      </w:pPr>
      <w:r>
        <w:t xml:space="preserve">Caso B. Construcción de un hospital de segundo nivel (entidad territorial)</w:t>
      </w:r>
    </w:p>
    <w:p>
      <w:pPr/>
      <w:r>
        <w:t xml:space="preserve">Edificación de 6.500 m² en 4 pisos, contrato por $45.000 millones y 18 meses. Los diseños los entregó la entidad. En el mes 6 el contratista reporta 37 inconsistencias entre los planos estructurales, arquitectónicos e hidrosanitarios, y pide que se le pague la revisión y el ajuste de diseños. La licencia de construcción vence en 50 días y la obra no terminará antes. Hay un supervisor técnico independiente contratado según la Ley 1796 de 2016. Las instalaciones eléctricas avanzan sin que se haya definido cómo se certificarán.</w:t>
      </w:r>
    </w:p>
    <w:p>
      <w:pPr>
        <w:pStyle w:val="ListParagraph"/>
        <w:numPr>
          <w:ilvl w:val="0"/>
          <w:numId w:val="35"/>
        </w:numPr>
      </w:pPr>
      <w:r>
        <w:t xml:space="preserve">¿Cómo gestiona las 37 inconsistencias de diseño y la solicitud de pago del contratista?</w:t>
      </w:r>
    </w:p>
    <w:p>
      <w:pPr>
        <w:pStyle w:val="ListParagraph"/>
        <w:numPr>
          <w:ilvl w:val="0"/>
          <w:numId w:val="35"/>
        </w:numPr>
      </w:pPr>
      <w:r>
        <w:t xml:space="preserve">¿Qué acción toma frente al vencimiento de la licencia de construcción y en qué plazo?</w:t>
      </w:r>
    </w:p>
    <w:p>
      <w:pPr>
        <w:pStyle w:val="ListParagraph"/>
        <w:numPr>
          <w:ilvl w:val="0"/>
          <w:numId w:val="35"/>
        </w:numPr>
      </w:pPr>
      <w:r>
        <w:t xml:space="preserve">¿Cómo se articula la interventoría con el supervisor técnico independiente? ¿Quién hace qué?</w:t>
      </w:r>
    </w:p>
    <w:p>
      <w:pPr>
        <w:pStyle w:val="ListParagraph"/>
        <w:numPr>
          <w:ilvl w:val="0"/>
          <w:numId w:val="35"/>
        </w:numPr>
      </w:pPr>
      <w:r>
        <w:t xml:space="preserve">¿Qué certificaciones y documentos debe exigir antes del recibo final (instalaciones eléctricas, iluminación, gases medicinales, ocupación)?</w:t>
      </w:r>
    </w:p>
    <w:p>
      <w:pPr>
        <w:pStyle w:val="Heading3"/>
      </w:pPr>
      <w:r>
        <w:t xml:space="preserve">Caso C. Optimización del acueducto y alcantarillado de un municipio</w:t>
      </w:r>
    </w:p>
    <w:p>
      <w:pPr/>
      <w:r>
        <w:t xml:space="preserve">Contrato por $12.500 millones y 10 meses, financiado por el plan departamental de agua. Se instalaron 4,2 km de tubería PVC de presión. El lote de tubería llegó sin certificado de conformidad de producto. La prueba hidrostática del tramo 3 falló dos veces. En el alcantarillado, el contratista quiere tapar las zanjas sin inspección por video (CCTV). En una calle se rompió una red de gas natural no registrada en los planos. El operador del servicio (empresa de servicios públicos) recibirá las redes al final.</w:t>
      </w:r>
    </w:p>
    <w:p>
      <w:pPr>
        <w:pStyle w:val="ListParagraph"/>
        <w:numPr>
          <w:ilvl w:val="0"/>
          <w:numId w:val="36"/>
        </w:numPr>
      </w:pPr>
      <w:r>
        <w:t xml:space="preserve">¿Qué hace con la tubería sin certificado de conformidad, incluida la que ya está instalada?</w:t>
      </w:r>
    </w:p>
    <w:p>
      <w:pPr>
        <w:pStyle w:val="ListParagraph"/>
        <w:numPr>
          <w:ilvl w:val="0"/>
          <w:numId w:val="36"/>
        </w:numPr>
      </w:pPr>
      <w:r>
        <w:t xml:space="preserve">¿Cómo maneja las pruebas hidrostáticas fallidas y la solicitud de tapar sin CCTV?</w:t>
      </w:r>
    </w:p>
    <w:p>
      <w:pPr>
        <w:pStyle w:val="ListParagraph"/>
        <w:numPr>
          <w:ilvl w:val="0"/>
          <w:numId w:val="36"/>
        </w:numPr>
      </w:pPr>
      <w:r>
        <w:t xml:space="preserve">¿Qué acciones toma frente a la ruptura de la red de gas (inmediatas y posteriores) y cómo se define quién asume el costo?</w:t>
      </w:r>
    </w:p>
    <w:p>
      <w:pPr>
        <w:pStyle w:val="ListParagraph"/>
        <w:numPr>
          <w:ilvl w:val="0"/>
          <w:numId w:val="36"/>
        </w:numPr>
      </w:pPr>
      <w:r>
        <w:t xml:space="preserve">¿Por qué debe involucrar al operador del servicio desde la ejecución y no solo al final?</w:t>
      </w:r>
    </w:p>
    <w:p>
      <w:pPr>
        <w:pStyle w:val="Heading3"/>
      </w:pPr>
      <w:r>
        <w:t xml:space="preserve">Caso D. Puente vehicular de 120 m (gobernación)</w:t>
      </w:r>
    </w:p>
    <w:p>
      <w:pPr/>
      <w:r>
        <w:t xml:space="preserve">Puente en concreto preesforzado con cimentación en pilotes, contrato a precio global por $18.000 millones. Las pruebas de integridad (PIT) muestran anomalías en 2 de 24 pilotes. Después, el contratista pide restablecer el equilibrio económico porque el acero subió 35 % desde la oferta. La matriz de riesgos asignó al contratista la variación de precios de insumos hasta el 10 %. El contrato no prevé fórmula de reajuste.</w:t>
      </w:r>
    </w:p>
    <w:p>
      <w:pPr>
        <w:pStyle w:val="ListParagraph"/>
        <w:numPr>
          <w:ilvl w:val="0"/>
          <w:numId w:val="37"/>
        </w:numPr>
      </w:pPr>
      <w:r>
        <w:t xml:space="preserve">¿Qué procedimiento sigue con los 2 pilotes con anomalías antes de autorizar los dados y las pilas?</w:t>
      </w:r>
    </w:p>
    <w:p>
      <w:pPr>
        <w:pStyle w:val="ListParagraph"/>
        <w:numPr>
          <w:ilvl w:val="0"/>
          <w:numId w:val="37"/>
        </w:numPr>
      </w:pPr>
      <w:r>
        <w:t xml:space="preserve">¿Cómo analiza la solicitud de restablecimiento del equilibrio económico? ¿Qué debe probar el contratista?</w:t>
      </w:r>
    </w:p>
    <w:p>
      <w:pPr>
        <w:pStyle w:val="ListParagraph"/>
        <w:numPr>
          <w:ilvl w:val="0"/>
          <w:numId w:val="37"/>
        </w:numPr>
      </w:pPr>
      <w:r>
        <w:t xml:space="preserve">En un contrato a precio global, ¿cómo controla el interventor los pagos y qué diferencia hay con uno a precios unitarios?</w:t>
      </w:r>
    </w:p>
    <w:p>
      <w:pPr>
        <w:pStyle w:val="ListParagraph"/>
        <w:numPr>
          <w:ilvl w:val="0"/>
          <w:numId w:val="37"/>
        </w:numPr>
      </w:pPr>
      <w:r>
        <w:t xml:space="preserve">¿Qué pruebas y entregables exige para el recibo del puente?</w:t>
      </w:r>
    </w:p>
    <w:p>
      <w:pPr>
        <w:pStyle w:val="Heading3"/>
      </w:pPr>
      <w:r>
        <w:t xml:space="preserve">Caso E. Concesión vial bajo esquema APP (entidad nacional de infraestructura)</w:t>
      </w:r>
    </w:p>
    <w:p>
      <w:pPr/>
      <w:r>
        <w:t xml:space="preserve">Concesión de 4G en etapa constructiva. El concesionario pide suscribir el acta de terminación de la Unidad Funcional 3 para empezar a recibir la retribución correspondiente. La interventoría encuentra que faltan 1,8 km de señalización horizontal y que una compensación forestal exigida por la licencia ambiental no se ha ejecutado. Además, la subcuenta predial del patrimonio autónomo muestra un déficit frente al valor estimado de los predios pendientes.</w:t>
      </w:r>
    </w:p>
    <w:p>
      <w:pPr>
        <w:pStyle w:val="ListParagraph"/>
        <w:numPr>
          <w:ilvl w:val="0"/>
          <w:numId w:val="38"/>
        </w:numPr>
      </w:pPr>
      <w:r>
        <w:t xml:space="preserve">¿Qué verifica antes de recomendar la suscripción del acta de terminación de la Unidad Funcional 3? ¿La recomienda en este caso?</w:t>
      </w:r>
    </w:p>
    <w:p>
      <w:pPr>
        <w:pStyle w:val="ListParagraph"/>
        <w:numPr>
          <w:ilvl w:val="0"/>
          <w:numId w:val="38"/>
        </w:numPr>
      </w:pPr>
      <w:r>
        <w:t xml:space="preserve">¿Cómo trata el incumplimiento de la compensación forestal y ante quién se informa?</w:t>
      </w:r>
    </w:p>
    <w:p>
      <w:pPr>
        <w:pStyle w:val="ListParagraph"/>
        <w:numPr>
          <w:ilvl w:val="0"/>
          <w:numId w:val="38"/>
        </w:numPr>
      </w:pPr>
      <w:r>
        <w:t xml:space="preserve">¿Qué implica el déficit en la subcuenta predial y qué debe revisar en el contrato?</w:t>
      </w:r>
    </w:p>
    <w:p>
      <w:pPr>
        <w:pStyle w:val="ListParagraph"/>
        <w:numPr>
          <w:ilvl w:val="0"/>
          <w:numId w:val="38"/>
        </w:numPr>
      </w:pPr>
      <w:r>
        <w:t xml:space="preserve">¿En qué se diferencia el control de una interventoría de APP del de un contrato de obra pública tradicional?</w:t>
      </w:r>
    </w:p>
    <w:p>
      <w:pPr>
        <w:pStyle w:val="Heading2"/>
      </w:pPr>
      <w:r>
        <w:t xml:space="preserve">Parte III. Verdadero o falso justificado (15 puntos)</w:t>
      </w:r>
    </w:p>
    <w:p>
      <w:pPr/>
      <w:r>
        <w:t xml:space="preserve">Marque V o F y justifique en una o dos líneas. Sin justificación correcta, la respuesta vale cero. Cada afirmación vale 1 punto.</w:t>
      </w:r>
    </w:p>
    <w:tbl>
      <w:tblPr>
        <w:tblStyle w:val="TableGrid"/>
        <w:tblW w:w="0" w:type="auto"/>
        <w:tblLayout w:type="fixed"/>
        <w:tblLook w:val="04A0" w:firstRow="1" w:lastRow="0" w:firstColumn="0" w:lastColumn="0" w:noHBand="0" w:noVBand="1"/>
      </w:tblPr>
      <w:tblGrid>
        <w:gridCol w:w="839"/>
        <w:gridCol w:w="5739"/>
        <w:gridCol w:w="965"/>
        <w:gridCol w:w="1815"/>
      </w:tblGrid>
      <w:tr>
        <w:trPr>
          <w:tblHeader/>
        </w:trPr>
        <w:tc>
          <w:tcPr>
            <w:tcW w:w="839" w:type="dxa"/>
            <w:shd w:val="clear" w:color="auto" w:fill="F2F2F2"/>
          </w:tcPr>
          <w:p>
            <w:pPr/>
            <w:r>
              <w:t xml:space="preserve">N.º</w:t>
            </w:r>
          </w:p>
        </w:tc>
        <w:tc>
          <w:tcPr>
            <w:tcW w:w="5739" w:type="dxa"/>
            <w:shd w:val="clear" w:color="auto" w:fill="F2F2F2"/>
          </w:tcPr>
          <w:p>
            <w:pPr/>
            <w:r>
              <w:t xml:space="preserve">Afirmación</w:t>
            </w:r>
          </w:p>
        </w:tc>
        <w:tc>
          <w:tcPr>
            <w:tcW w:w="965" w:type="dxa"/>
            <w:shd w:val="clear" w:color="auto" w:fill="F2F2F2"/>
          </w:tcPr>
          <w:p>
            <w:pPr/>
            <w:r>
              <w:t xml:space="preserve">V / F</w:t>
            </w:r>
          </w:p>
        </w:tc>
        <w:tc>
          <w:tcPr>
            <w:tcW w:w="1815" w:type="dxa"/>
            <w:shd w:val="clear" w:color="auto" w:fill="F2F2F2"/>
          </w:tcPr>
          <w:p>
            <w:pPr/>
            <w:r>
              <w:t xml:space="preserve">Justificación</w:t>
            </w:r>
          </w:p>
        </w:tc>
      </w:tr>
      <w:tr>
        <w:tc>
          <w:tcPr>
            <w:tcW w:w="839" w:type="dxa"/>
          </w:tcPr>
          <w:p>
            <w:pPr/>
            <w:r>
              <w:t xml:space="preserve">1</w:t>
            </w:r>
          </w:p>
        </w:tc>
        <w:tc>
          <w:tcPr>
            <w:tcW w:w="5739" w:type="dxa"/>
          </w:tcPr>
          <w:p>
            <w:pPr/>
            <w:r>
              <w:t xml:space="preserve">El interventor puede modificar una especificación técnica mediante orden en bitácora si con ello mejora la calidad de la obra.</w:t>
            </w:r>
          </w:p>
        </w:tc>
        <w:tc>
          <w:tcPr>
            <w:tcW w:w="965" w:type="dxa"/>
          </w:tcPr>
          <w:p>
            <w:pPr/>
          </w:p>
        </w:tc>
        <w:tc>
          <w:tcPr>
            <w:tcW w:w="1815" w:type="dxa"/>
          </w:tcPr>
          <w:p>
            <w:pPr/>
          </w:p>
        </w:tc>
      </w:tr>
      <w:tr>
        <w:tc>
          <w:tcPr>
            <w:tcW w:w="839" w:type="dxa"/>
          </w:tcPr>
          <w:p>
            <w:pPr/>
            <w:r>
              <w:t xml:space="preserve">2</w:t>
            </w:r>
          </w:p>
        </w:tc>
        <w:tc>
          <w:tcPr>
            <w:tcW w:w="5739" w:type="dxa"/>
          </w:tcPr>
          <w:p>
            <w:pPr/>
            <w:r>
              <w:t xml:space="preserve">En contratos de obra celebrados como resultado de una licitación, la interventoría debe contratarse con una persona independiente de la entidad y del contratista.</w:t>
            </w:r>
          </w:p>
        </w:tc>
        <w:tc>
          <w:tcPr>
            <w:tcW w:w="965" w:type="dxa"/>
          </w:tcPr>
          <w:p>
            <w:pPr/>
          </w:p>
        </w:tc>
        <w:tc>
          <w:tcPr>
            <w:tcW w:w="1815" w:type="dxa"/>
          </w:tcPr>
          <w:p>
            <w:pPr/>
          </w:p>
        </w:tc>
      </w:tr>
      <w:tr>
        <w:tc>
          <w:tcPr>
            <w:tcW w:w="839" w:type="dxa"/>
          </w:tcPr>
          <w:p>
            <w:pPr/>
            <w:r>
              <w:t xml:space="preserve">3</w:t>
            </w:r>
          </w:p>
        </w:tc>
        <w:tc>
          <w:tcPr>
            <w:tcW w:w="5739" w:type="dxa"/>
          </w:tcPr>
          <w:p>
            <w:pPr/>
            <w:r>
              <w:t xml:space="preserve">Firmada el acta de recibo final, cesa toda responsabilidad del contratista por la calidad de la obra.</w:t>
            </w:r>
          </w:p>
        </w:tc>
        <w:tc>
          <w:tcPr>
            <w:tcW w:w="965" w:type="dxa"/>
          </w:tcPr>
          <w:p>
            <w:pPr/>
          </w:p>
        </w:tc>
        <w:tc>
          <w:tcPr>
            <w:tcW w:w="1815" w:type="dxa"/>
          </w:tcPr>
          <w:p>
            <w:pPr/>
          </w:p>
        </w:tc>
      </w:tr>
      <w:tr>
        <w:tc>
          <w:tcPr>
            <w:tcW w:w="839" w:type="dxa"/>
          </w:tcPr>
          <w:p>
            <w:pPr/>
            <w:r>
              <w:t xml:space="preserve">4</w:t>
            </w:r>
          </w:p>
        </w:tc>
        <w:tc>
          <w:tcPr>
            <w:tcW w:w="5739" w:type="dxa"/>
          </w:tcPr>
          <w:p>
            <w:pPr/>
            <w:r>
              <w:t xml:space="preserve">El amparo de estabilidad y calidad de la obra debe tener, por regla general, vigencia mínima de 5 años desde el recibo a satisfacción.</w:t>
            </w:r>
          </w:p>
        </w:tc>
        <w:tc>
          <w:tcPr>
            <w:tcW w:w="965" w:type="dxa"/>
          </w:tcPr>
          <w:p>
            <w:pPr/>
          </w:p>
        </w:tc>
        <w:tc>
          <w:tcPr>
            <w:tcW w:w="1815" w:type="dxa"/>
          </w:tcPr>
          <w:p>
            <w:pPr/>
          </w:p>
        </w:tc>
      </w:tr>
      <w:tr>
        <w:tc>
          <w:tcPr>
            <w:tcW w:w="839" w:type="dxa"/>
          </w:tcPr>
          <w:p>
            <w:pPr/>
            <w:r>
              <w:t xml:space="preserve">5</w:t>
            </w:r>
          </w:p>
        </w:tc>
        <w:tc>
          <w:tcPr>
            <w:tcW w:w="5739" w:type="dxa"/>
          </w:tcPr>
          <w:p>
            <w:pPr/>
            <w:r>
              <w:t xml:space="preserve">En una emergencia, el interventor puede autorizar verbalmente obras adicionales y formalizarlas después.</w:t>
            </w:r>
          </w:p>
        </w:tc>
        <w:tc>
          <w:tcPr>
            <w:tcW w:w="965" w:type="dxa"/>
          </w:tcPr>
          <w:p>
            <w:pPr/>
          </w:p>
        </w:tc>
        <w:tc>
          <w:tcPr>
            <w:tcW w:w="1815" w:type="dxa"/>
          </w:tcPr>
          <w:p>
            <w:pPr/>
          </w:p>
        </w:tc>
      </w:tr>
      <w:tr>
        <w:tc>
          <w:tcPr>
            <w:tcW w:w="839" w:type="dxa"/>
          </w:tcPr>
          <w:p>
            <w:pPr/>
            <w:r>
              <w:t xml:space="preserve">6</w:t>
            </w:r>
          </w:p>
        </w:tc>
        <w:tc>
          <w:tcPr>
            <w:tcW w:w="5739" w:type="dxa"/>
          </w:tcPr>
          <w:p>
            <w:pPr/>
            <w:r>
              <w:t xml:space="preserve">Los rendimientos financieros del anticipo pertenecen al contratista.</w:t>
            </w:r>
          </w:p>
        </w:tc>
        <w:tc>
          <w:tcPr>
            <w:tcW w:w="965" w:type="dxa"/>
          </w:tcPr>
          <w:p>
            <w:pPr/>
          </w:p>
        </w:tc>
        <w:tc>
          <w:tcPr>
            <w:tcW w:w="1815" w:type="dxa"/>
          </w:tcPr>
          <w:p>
            <w:pPr/>
          </w:p>
        </w:tc>
      </w:tr>
      <w:tr>
        <w:tc>
          <w:tcPr>
            <w:tcW w:w="839" w:type="dxa"/>
          </w:tcPr>
          <w:p>
            <w:pPr/>
            <w:r>
              <w:t xml:space="preserve">7</w:t>
            </w:r>
          </w:p>
        </w:tc>
        <w:tc>
          <w:tcPr>
            <w:tcW w:w="5739" w:type="dxa"/>
          </w:tcPr>
          <w:p>
            <w:pPr/>
            <w:r>
              <w:t xml:space="preserve">El interventor debe verificar que la póliza de responsabilidad civil extracontractual se mantenga vigente durante la ejecución.</w:t>
            </w:r>
          </w:p>
        </w:tc>
        <w:tc>
          <w:tcPr>
            <w:tcW w:w="965" w:type="dxa"/>
          </w:tcPr>
          <w:p>
            <w:pPr/>
          </w:p>
        </w:tc>
        <w:tc>
          <w:tcPr>
            <w:tcW w:w="1815" w:type="dxa"/>
          </w:tcPr>
          <w:p>
            <w:pPr/>
          </w:p>
        </w:tc>
      </w:tr>
      <w:tr>
        <w:tc>
          <w:tcPr>
            <w:tcW w:w="839" w:type="dxa"/>
          </w:tcPr>
          <w:p>
            <w:pPr/>
            <w:r>
              <w:t xml:space="preserve">8</w:t>
            </w:r>
          </w:p>
        </w:tc>
        <w:tc>
          <w:tcPr>
            <w:tcW w:w="5739" w:type="dxa"/>
          </w:tcPr>
          <w:p>
            <w:pPr/>
            <w:r>
              <w:t xml:space="preserve">Al suspender el contrato se suspende el plazo, pero no es necesario ajustar las garantías.</w:t>
            </w:r>
          </w:p>
        </w:tc>
        <w:tc>
          <w:tcPr>
            <w:tcW w:w="965" w:type="dxa"/>
          </w:tcPr>
          <w:p>
            <w:pPr/>
          </w:p>
        </w:tc>
        <w:tc>
          <w:tcPr>
            <w:tcW w:w="1815" w:type="dxa"/>
          </w:tcPr>
          <w:p>
            <w:pPr/>
          </w:p>
        </w:tc>
      </w:tr>
      <w:tr>
        <w:tc>
          <w:tcPr>
            <w:tcW w:w="839" w:type="dxa"/>
          </w:tcPr>
          <w:p>
            <w:pPr/>
            <w:r>
              <w:t xml:space="preserve">9</w:t>
            </w:r>
          </w:p>
        </w:tc>
        <w:tc>
          <w:tcPr>
            <w:tcW w:w="5739" w:type="dxa"/>
          </w:tcPr>
          <w:p>
            <w:pPr/>
            <w:r>
              <w:t xml:space="preserve">El interventor puede exigir al contratista la información que considere necesaria para hacer el seguimiento del contrato.</w:t>
            </w:r>
          </w:p>
        </w:tc>
        <w:tc>
          <w:tcPr>
            <w:tcW w:w="965" w:type="dxa"/>
          </w:tcPr>
          <w:p>
            <w:pPr/>
          </w:p>
        </w:tc>
        <w:tc>
          <w:tcPr>
            <w:tcW w:w="1815" w:type="dxa"/>
          </w:tcPr>
          <w:p>
            <w:pPr/>
          </w:p>
        </w:tc>
      </w:tr>
      <w:tr>
        <w:tc>
          <w:tcPr>
            <w:tcW w:w="839" w:type="dxa"/>
          </w:tcPr>
          <w:p>
            <w:pPr/>
            <w:r>
              <w:t xml:space="preserve">10</w:t>
            </w:r>
          </w:p>
        </w:tc>
        <w:tc>
          <w:tcPr>
            <w:tcW w:w="5739" w:type="dxa"/>
          </w:tcPr>
          <w:p>
            <w:pPr/>
            <w:r>
              <w:t xml:space="preserve">Los informes de interventoría deben limitarse a reportar el avance físico de la obra.</w:t>
            </w:r>
          </w:p>
        </w:tc>
        <w:tc>
          <w:tcPr>
            <w:tcW w:w="965" w:type="dxa"/>
          </w:tcPr>
          <w:p>
            <w:pPr/>
          </w:p>
        </w:tc>
        <w:tc>
          <w:tcPr>
            <w:tcW w:w="1815" w:type="dxa"/>
          </w:tcPr>
          <w:p>
            <w:pPr/>
          </w:p>
        </w:tc>
      </w:tr>
      <w:tr>
        <w:tc>
          <w:tcPr>
            <w:tcW w:w="839" w:type="dxa"/>
          </w:tcPr>
          <w:p>
            <w:pPr/>
            <w:r>
              <w:t xml:space="preserve">11</w:t>
            </w:r>
          </w:p>
        </w:tc>
        <w:tc>
          <w:tcPr>
            <w:tcW w:w="5739" w:type="dxa"/>
          </w:tcPr>
          <w:p>
            <w:pPr/>
            <w:r>
              <w:t xml:space="preserve">Como la gestión ambiental la ejecuta el contratista, el interventor nunca responde por daños ambientales ocurridos en la obra.</w:t>
            </w:r>
          </w:p>
        </w:tc>
        <w:tc>
          <w:tcPr>
            <w:tcW w:w="965" w:type="dxa"/>
          </w:tcPr>
          <w:p>
            <w:pPr/>
          </w:p>
        </w:tc>
        <w:tc>
          <w:tcPr>
            <w:tcW w:w="1815" w:type="dxa"/>
          </w:tcPr>
          <w:p>
            <w:pPr/>
          </w:p>
        </w:tc>
      </w:tr>
      <w:tr>
        <w:tc>
          <w:tcPr>
            <w:tcW w:w="839" w:type="dxa"/>
          </w:tcPr>
          <w:p>
            <w:pPr/>
            <w:r>
              <w:t xml:space="preserve">12</w:t>
            </w:r>
          </w:p>
        </w:tc>
        <w:tc>
          <w:tcPr>
            <w:tcW w:w="5739" w:type="dxa"/>
          </w:tcPr>
          <w:p>
            <w:pPr/>
            <w:r>
              <w:t xml:space="preserve">El interventor no puede tener vínculos laborales o comerciales con el contratista vigilado durante la ejecución.</w:t>
            </w:r>
          </w:p>
        </w:tc>
        <w:tc>
          <w:tcPr>
            <w:tcW w:w="965" w:type="dxa"/>
          </w:tcPr>
          <w:p>
            <w:pPr/>
          </w:p>
        </w:tc>
        <w:tc>
          <w:tcPr>
            <w:tcW w:w="1815" w:type="dxa"/>
          </w:tcPr>
          <w:p>
            <w:pPr/>
          </w:p>
        </w:tc>
      </w:tr>
      <w:tr>
        <w:tc>
          <w:tcPr>
            <w:tcW w:w="839" w:type="dxa"/>
          </w:tcPr>
          <w:p>
            <w:pPr/>
            <w:r>
              <w:t xml:space="preserve">13</w:t>
            </w:r>
          </w:p>
        </w:tc>
        <w:tc>
          <w:tcPr>
            <w:tcW w:w="5739" w:type="dxa"/>
          </w:tcPr>
          <w:p>
            <w:pPr/>
            <w:r>
              <w:t xml:space="preserve">Las actas de vecindad se levantan al terminar la obra, para registrar los daños causados.</w:t>
            </w:r>
          </w:p>
        </w:tc>
        <w:tc>
          <w:tcPr>
            <w:tcW w:w="965" w:type="dxa"/>
          </w:tcPr>
          <w:p>
            <w:pPr/>
          </w:p>
        </w:tc>
        <w:tc>
          <w:tcPr>
            <w:tcW w:w="1815" w:type="dxa"/>
          </w:tcPr>
          <w:p>
            <w:pPr/>
          </w:p>
        </w:tc>
      </w:tr>
      <w:tr>
        <w:tc>
          <w:tcPr>
            <w:tcW w:w="839" w:type="dxa"/>
          </w:tcPr>
          <w:p>
            <w:pPr/>
            <w:r>
              <w:t xml:space="preserve">14</w:t>
            </w:r>
          </w:p>
        </w:tc>
        <w:tc>
          <w:tcPr>
            <w:tcW w:w="5739" w:type="dxa"/>
          </w:tcPr>
          <w:p>
            <w:pPr/>
            <w:r>
              <w:t xml:space="preserve">En las APP, el derecho a la retribución está condicionado a la disponibilidad de la infraestructura y al cumplimiento de niveles de servicio y estándares de calidad.</w:t>
            </w:r>
          </w:p>
        </w:tc>
        <w:tc>
          <w:tcPr>
            <w:tcW w:w="965" w:type="dxa"/>
          </w:tcPr>
          <w:p>
            <w:pPr/>
          </w:p>
        </w:tc>
        <w:tc>
          <w:tcPr>
            <w:tcW w:w="1815" w:type="dxa"/>
          </w:tcPr>
          <w:p>
            <w:pPr/>
          </w:p>
        </w:tc>
      </w:tr>
      <w:tr>
        <w:tc>
          <w:tcPr>
            <w:tcW w:w="839" w:type="dxa"/>
          </w:tcPr>
          <w:p>
            <w:pPr/>
            <w:r>
              <w:t xml:space="preserve">15</w:t>
            </w:r>
          </w:p>
        </w:tc>
        <w:tc>
          <w:tcPr>
            <w:tcW w:w="5739" w:type="dxa"/>
          </w:tcPr>
          <w:p>
            <w:pPr/>
            <w:r>
              <w:t xml:space="preserve">El interventor puede recibir beneficios del contratista siempre que no afecten sus decisiones.</w:t>
            </w:r>
          </w:p>
        </w:tc>
        <w:tc>
          <w:tcPr>
            <w:tcW w:w="965" w:type="dxa"/>
          </w:tcPr>
          <w:p>
            <w:pPr/>
          </w:p>
        </w:tc>
        <w:tc>
          <w:tcPr>
            <w:tcW w:w="1815" w:type="dxa"/>
          </w:tcPr>
          <w:p>
            <w:pPr/>
          </w:p>
        </w:tc>
      </w:tr>
    </w:tbl>
    <w:p>
      <w:pPr>
        <w:pStyle w:val="Heading2"/>
      </w:pPr>
      <w:r>
        <w:t xml:space="preserve">Parte IV. Caso integrador 1 (20 puntos)</w:t>
      </w:r>
    </w:p>
    <w:p>
      <w:pPr/>
      <w:r>
        <w:t xml:space="preserve">Usted es el director de interventoría de una troncal urbana de transporte masivo de 6,5 km con espacio público y redes. El contrato de obra vale $95.000 millones, dura 24 meses y tuvo un anticipo del 20 % ($19.000 millones). En el mes 16 se han amortizado $11.400 millones del anticipo. Responda las 5 preguntas; cada una vale 4 puntos.</w:t>
      </w:r>
    </w:p>
    <w:p>
      <w:pPr/>
      <w:r>
        <w:rPr>
          <w:b/>
        </w:rPr>
        <w:t xml:space="preserve">Hechos del contrato</w:t>
      </w:r>
    </w:p>
    <w:tbl>
      <w:tblPr>
        <w:tblStyle w:val="TableGrid"/>
        <w:tblW w:w="0" w:type="auto"/>
        <w:tblLayout w:type="fixed"/>
        <w:tblLook w:val="04A0" w:firstRow="1" w:lastRow="0" w:firstColumn="0" w:lastColumn="0" w:noHBand="0" w:noVBand="1"/>
      </w:tblPr>
      <w:tblGrid>
        <w:gridCol w:w="1194"/>
        <w:gridCol w:w="8165"/>
      </w:tblGrid>
      <w:tr>
        <w:trPr>
          <w:tblHeader/>
        </w:trPr>
        <w:tc>
          <w:tcPr>
            <w:tcW w:w="1194" w:type="dxa"/>
            <w:shd w:val="clear" w:color="auto" w:fill="F2F2F2"/>
          </w:tcPr>
          <w:p>
            <w:pPr/>
            <w:r>
              <w:t xml:space="preserve">Mes</w:t>
            </w:r>
          </w:p>
        </w:tc>
        <w:tc>
          <w:tcPr>
            <w:tcW w:w="8165" w:type="dxa"/>
            <w:shd w:val="clear" w:color="auto" w:fill="F2F2F2"/>
          </w:tcPr>
          <w:p>
            <w:pPr/>
            <w:r>
              <w:t xml:space="preserve">Hecho</w:t>
            </w:r>
          </w:p>
        </w:tc>
      </w:tr>
      <w:tr>
        <w:tc>
          <w:tcPr>
            <w:tcW w:w="1194" w:type="dxa"/>
          </w:tcPr>
          <w:p>
            <w:pPr/>
            <w:r>
              <w:t xml:space="preserve">3</w:t>
            </w:r>
          </w:p>
        </w:tc>
        <w:tc>
          <w:tcPr>
            <w:tcW w:w="8165" w:type="dxa"/>
          </w:tcPr>
          <w:p>
            <w:pPr/>
            <w:r>
              <w:t xml:space="preserve">Aparecen redes de acueducto y telecomunicaciones no registradas en el catálogo de redes. La empresa de servicios no ha aprobado los diseños de traslado.</w:t>
            </w:r>
          </w:p>
        </w:tc>
      </w:tr>
      <w:tr>
        <w:tc>
          <w:tcPr>
            <w:tcW w:w="1194" w:type="dxa"/>
          </w:tcPr>
          <w:p>
            <w:pPr/>
            <w:r>
              <w:t xml:space="preserve">7</w:t>
            </w:r>
          </w:p>
        </w:tc>
        <w:tc>
          <w:tcPr>
            <w:tcW w:w="8165" w:type="dxa"/>
          </w:tcPr>
          <w:p>
            <w:pPr/>
            <w:r>
              <w:t xml:space="preserve">Un trabajador muere al colapsar una zanja de 3,5 m sin entibado.</w:t>
            </w:r>
          </w:p>
        </w:tc>
      </w:tr>
      <w:tr>
        <w:tc>
          <w:tcPr>
            <w:tcW w:w="1194" w:type="dxa"/>
          </w:tcPr>
          <w:p>
            <w:pPr/>
            <w:r>
              <w:t xml:space="preserve">10</w:t>
            </w:r>
          </w:p>
        </w:tc>
        <w:tc>
          <w:tcPr>
            <w:tcW w:w="8165" w:type="dxa"/>
          </w:tcPr>
          <w:p>
            <w:pPr/>
            <w:r>
              <w:t xml:space="preserve">El avance es 41 %; el programado era 55 %. El contratista presenta un plan de contingencia que la interventoría considera insuficiente.</w:t>
            </w:r>
          </w:p>
        </w:tc>
      </w:tr>
      <w:tr>
        <w:tc>
          <w:tcPr>
            <w:tcW w:w="1194" w:type="dxa"/>
          </w:tcPr>
          <w:p>
            <w:pPr/>
            <w:r>
              <w:t xml:space="preserve">12</w:t>
            </w:r>
          </w:p>
        </w:tc>
        <w:tc>
          <w:tcPr>
            <w:tcW w:w="8165" w:type="dxa"/>
          </w:tcPr>
          <w:p>
            <w:pPr/>
            <w:r>
              <w:t xml:space="preserve">Se aprueba un ítem no previsto de "concreto MR-45 de fraguado acelerado" con un APU 38 % por encima de los precios de referencia de la entidad.</w:t>
            </w:r>
          </w:p>
        </w:tc>
      </w:tr>
      <w:tr>
        <w:tc>
          <w:tcPr>
            <w:tcW w:w="1194" w:type="dxa"/>
          </w:tcPr>
          <w:p>
            <w:pPr/>
            <w:r>
              <w:t xml:space="preserve">14</w:t>
            </w:r>
          </w:p>
        </w:tc>
        <w:tc>
          <w:tcPr>
            <w:tcW w:w="8165" w:type="dxa"/>
          </w:tcPr>
          <w:p>
            <w:pPr/>
            <w:r>
              <w:t xml:space="preserve">El contratista es admitido a un proceso de reorganización empresarial (Ley 1116 de 2006). Dos subcontratistas reportan que no les ha pagado.</w:t>
            </w:r>
          </w:p>
        </w:tc>
      </w:tr>
      <w:tr>
        <w:tc>
          <w:tcPr>
            <w:tcW w:w="1194" w:type="dxa"/>
          </w:tcPr>
          <w:p>
            <w:pPr/>
            <w:r>
              <w:t xml:space="preserve">16</w:t>
            </w:r>
          </w:p>
        </w:tc>
        <w:tc>
          <w:tcPr>
            <w:tcW w:w="8165" w:type="dxa"/>
          </w:tcPr>
          <w:p>
            <w:pPr/>
            <w:r>
              <w:t xml:space="preserve">La Contraloría comunica un hallazgo con presunta incidencia fiscal sobre el ítem no previsto del mes 12.</w:t>
            </w:r>
          </w:p>
        </w:tc>
      </w:tr>
    </w:tbl>
    <w:p>
      <w:pPr>
        <w:pStyle w:val="ListParagraph"/>
        <w:numPr>
          <w:ilvl w:val="0"/>
          <w:numId w:val="39"/>
        </w:numPr>
      </w:pPr>
      <w:r>
        <w:t xml:space="preserve">Elabore una matriz con los seis hechos: para cada uno, el tipo o tipos de control comprometidos, la acción que debió o debe tomar la interventoría y el documento soporte.</w:t>
      </w:r>
    </w:p>
    <w:p>
      <w:pPr>
        <w:pStyle w:val="ListParagraph"/>
        <w:numPr>
          <w:ilvl w:val="0"/>
          <w:numId w:val="39"/>
        </w:numPr>
      </w:pPr>
      <w:r>
        <w:t xml:space="preserve">Accidente del mes 7: ¿qué acciones inmediatas y posteriores debió tomar la interventoría? ¿Qué falló en el control de SST y qué consecuencias puede tener para el contratista y la interventoría?</w:t>
      </w:r>
    </w:p>
    <w:p>
      <w:pPr>
        <w:pStyle w:val="ListParagraph"/>
        <w:numPr>
          <w:ilvl w:val="0"/>
          <w:numId w:val="39"/>
        </w:numPr>
      </w:pPr>
      <w:r>
        <w:t xml:space="preserve">Reorganización del mes 14: ¿qué efectos tiene sobre el contrato, el anticipo pendiente de amortizar ($7.600 millones) y las garantías? ¿Qué recomienda a la entidad?</w:t>
      </w:r>
    </w:p>
    <w:p>
      <w:pPr>
        <w:pStyle w:val="ListParagraph"/>
        <w:numPr>
          <w:ilvl w:val="0"/>
          <w:numId w:val="39"/>
        </w:numPr>
      </w:pPr>
      <w:r>
        <w:t xml:space="preserve">Hallazgo del mes 16: ¿cómo responde la interventoría y qué responsabilidad puede tener por haber avalado el APU?</w:t>
      </w:r>
    </w:p>
    <w:p>
      <w:pPr>
        <w:pStyle w:val="ListParagraph"/>
        <w:numPr>
          <w:ilvl w:val="0"/>
          <w:numId w:val="39"/>
        </w:numPr>
      </w:pPr>
      <w:r>
        <w:t xml:space="preserve">Redacte el esquema del informe extraordinario que entregaría a la entidad en el mes 16 (secciones, contenido de cada una y recomendaciones).</w:t>
      </w:r>
    </w:p>
    <w:p>
      <w:pPr>
        <w:pStyle w:val="Heading2"/>
      </w:pPr>
      <w:r>
        <w:t xml:space="preserve">Parte V. Casos integradores adicionales (50 puntos)</w:t>
      </w:r>
    </w:p>
    <w:p>
      <w:pPr/>
      <w:r>
        <w:t xml:space="preserve">Estos casos exigen cálculos. Presente las tablas y gráficas en hoja de cálculo o papel milimetrado, con valores en millones de pesos y porcentajes con dos decimales. Puede usar calculadora u hoja de cálculo.</w:t>
      </w:r>
    </w:p>
    <w:p>
      <w:pPr>
        <w:pStyle w:val="Heading3"/>
      </w:pPr>
      <w:r>
        <w:t xml:space="preserve">Caso integrador 2. Colegio: programación, curva S y flujo de efectivo (20 puntos)</w:t>
      </w:r>
    </w:p>
    <w:p>
      <w:pPr/>
      <w:r>
        <w:t xml:space="preserve">Un municipio contrata la construcción de un colegio por $8.000 millones (incluido el AIU) y 8 meses, a precios unitarios. Las condiciones de pago son:</w:t>
      </w:r>
    </w:p>
    <w:p>
      <w:pPr>
        <w:pStyle w:val="ListParagraph"/>
        <w:numPr>
          <w:ilvl w:val="0"/>
          <w:numId w:val="40"/>
        </w:numPr>
      </w:pPr>
      <w:r>
        <w:t xml:space="preserve">Anticipo del 30 % ($2.400 millones), girado a la fiducia en el mes 0, antes del inicio.</w:t>
      </w:r>
    </w:p>
    <w:p>
      <w:pPr>
        <w:pStyle w:val="ListParagraph"/>
        <w:numPr>
          <w:ilvl w:val="0"/>
          <w:numId w:val="40"/>
        </w:numPr>
      </w:pPr>
      <w:r>
        <w:t xml:space="preserve">Actas mensuales de obra ejecutada, pagadas el mes siguiente a su presentación.</w:t>
      </w:r>
    </w:p>
    <w:p>
      <w:pPr>
        <w:pStyle w:val="ListParagraph"/>
        <w:numPr>
          <w:ilvl w:val="0"/>
          <w:numId w:val="40"/>
        </w:numPr>
      </w:pPr>
      <w:r>
        <w:t xml:space="preserve">De cada acta se descuenta el 30 % como amortización del anticipo y se retiene el 5 % como garantía. La retención se devuelve en la liquidación (mes 10).</w:t>
      </w:r>
    </w:p>
    <w:p>
      <w:pPr>
        <w:pStyle w:val="ListParagraph"/>
        <w:numPr>
          <w:ilvl w:val="0"/>
          <w:numId w:val="40"/>
        </w:numPr>
      </w:pPr>
      <w:r>
        <w:t xml:space="preserve">Para el análisis, suponga que los costos del contratista son el 80 % del valor ejecutado y los paga en el mismo mes de ejecución. Ignore impuestos y reajustes.</w:t>
      </w:r>
    </w:p>
    <w:p>
      <w:pPr>
        <w:pStyle w:val="ListParagraph"/>
        <w:numPr>
          <w:ilvl w:val="0"/>
          <w:numId w:val="40"/>
        </w:numPr>
      </w:pPr>
      <w:r>
        <w:t xml:space="preserve">El contrato obliga a presentar un plan de contingencia cuando la desviación del avance acumulado es igual o mayor a 10 puntos porcentuales.</w:t>
      </w:r>
    </w:p>
    <w:p>
      <w:pPr/>
      <w:r>
        <w:rPr>
          <w:b/>
        </w:rPr>
        <w:t xml:space="preserve">Programa de obra aprobado</w:t>
      </w:r>
      <w:r>
        <w:t xml:space="preserve"> (el valor de cada actividad se distribuye en partes iguales entre sus meses)</w:t>
      </w:r>
    </w:p>
    <w:tbl>
      <w:tblPr>
        <w:tblStyle w:val="TableGrid"/>
        <w:tblW w:w="0" w:type="auto"/>
        <w:tblLayout w:type="fixed"/>
        <w:tblLook w:val="04A0" w:firstRow="1" w:lastRow="0" w:firstColumn="0" w:lastColumn="0" w:noHBand="0" w:noVBand="1"/>
      </w:tblPr>
      <w:tblGrid>
        <w:gridCol w:w="4873"/>
        <w:gridCol w:w="2156"/>
        <w:gridCol w:w="2329"/>
      </w:tblGrid>
      <w:tr>
        <w:trPr>
          <w:tblHeader/>
        </w:trPr>
        <w:tc>
          <w:tcPr>
            <w:tcW w:w="4873" w:type="dxa"/>
            <w:shd w:val="clear" w:color="auto" w:fill="F2F2F2"/>
          </w:tcPr>
          <w:p>
            <w:pPr/>
            <w:r>
              <w:t xml:space="preserve">Actividad</w:t>
            </w:r>
          </w:p>
        </w:tc>
        <w:tc>
          <w:tcPr>
            <w:tcW w:w="2156" w:type="dxa"/>
            <w:shd w:val="clear" w:color="auto" w:fill="F2F2F2"/>
          </w:tcPr>
          <w:p>
            <w:pPr/>
            <w:r>
              <w:t xml:space="preserve">Valor ($ millones)</w:t>
            </w:r>
          </w:p>
        </w:tc>
        <w:tc>
          <w:tcPr>
            <w:tcW w:w="2329" w:type="dxa"/>
            <w:shd w:val="clear" w:color="auto" w:fill="F2F2F2"/>
          </w:tcPr>
          <w:p>
            <w:pPr/>
            <w:r>
              <w:t xml:space="preserve">Meses de ejecución</w:t>
            </w:r>
          </w:p>
        </w:tc>
      </w:tr>
      <w:tr>
        <w:tc>
          <w:tcPr>
            <w:tcW w:w="4873" w:type="dxa"/>
          </w:tcPr>
          <w:p>
            <w:pPr/>
            <w:r>
              <w:t xml:space="preserve">1. Preliminares y movimiento de tierras</w:t>
            </w:r>
          </w:p>
        </w:tc>
        <w:tc>
          <w:tcPr>
            <w:tcW w:w="2156" w:type="dxa"/>
          </w:tcPr>
          <w:p>
            <w:pPr/>
            <w:r>
              <w:t xml:space="preserve">400</w:t>
            </w:r>
          </w:p>
        </w:tc>
        <w:tc>
          <w:tcPr>
            <w:tcW w:w="2329" w:type="dxa"/>
          </w:tcPr>
          <w:p>
            <w:pPr/>
            <w:r>
              <w:t xml:space="preserve">1 y 2</w:t>
            </w:r>
          </w:p>
        </w:tc>
      </w:tr>
      <w:tr>
        <w:tc>
          <w:tcPr>
            <w:tcW w:w="4873" w:type="dxa"/>
          </w:tcPr>
          <w:p>
            <w:pPr/>
            <w:r>
              <w:t xml:space="preserve">2. Cimentación</w:t>
            </w:r>
          </w:p>
        </w:tc>
        <w:tc>
          <w:tcPr>
            <w:tcW w:w="2156" w:type="dxa"/>
          </w:tcPr>
          <w:p>
            <w:pPr/>
            <w:r>
              <w:t xml:space="preserve">1.200</w:t>
            </w:r>
          </w:p>
        </w:tc>
        <w:tc>
          <w:tcPr>
            <w:tcW w:w="2329" w:type="dxa"/>
          </w:tcPr>
          <w:p>
            <w:pPr/>
            <w:r>
              <w:t xml:space="preserve">2 y 3</w:t>
            </w:r>
          </w:p>
        </w:tc>
      </w:tr>
      <w:tr>
        <w:tc>
          <w:tcPr>
            <w:tcW w:w="4873" w:type="dxa"/>
          </w:tcPr>
          <w:p>
            <w:pPr/>
            <w:r>
              <w:t xml:space="preserve">3. Estructura</w:t>
            </w:r>
          </w:p>
        </w:tc>
        <w:tc>
          <w:tcPr>
            <w:tcW w:w="2156" w:type="dxa"/>
          </w:tcPr>
          <w:p>
            <w:pPr/>
            <w:r>
              <w:t xml:space="preserve">2.400</w:t>
            </w:r>
          </w:p>
        </w:tc>
        <w:tc>
          <w:tcPr>
            <w:tcW w:w="2329" w:type="dxa"/>
          </w:tcPr>
          <w:p>
            <w:pPr/>
            <w:r>
              <w:t xml:space="preserve">3 a 6</w:t>
            </w:r>
          </w:p>
        </w:tc>
      </w:tr>
      <w:tr>
        <w:tc>
          <w:tcPr>
            <w:tcW w:w="4873" w:type="dxa"/>
          </w:tcPr>
          <w:p>
            <w:pPr/>
            <w:r>
              <w:t xml:space="preserve">4. Mampostería y cubierta</w:t>
            </w:r>
          </w:p>
        </w:tc>
        <w:tc>
          <w:tcPr>
            <w:tcW w:w="2156" w:type="dxa"/>
          </w:tcPr>
          <w:p>
            <w:pPr/>
            <w:r>
              <w:t xml:space="preserve">1.200</w:t>
            </w:r>
          </w:p>
        </w:tc>
        <w:tc>
          <w:tcPr>
            <w:tcW w:w="2329" w:type="dxa"/>
          </w:tcPr>
          <w:p>
            <w:pPr/>
            <w:r>
              <w:t xml:space="preserve">5 a 7</w:t>
            </w:r>
          </w:p>
        </w:tc>
      </w:tr>
      <w:tr>
        <w:tc>
          <w:tcPr>
            <w:tcW w:w="4873" w:type="dxa"/>
          </w:tcPr>
          <w:p>
            <w:pPr/>
            <w:r>
              <w:t xml:space="preserve">5. Instalaciones hidrosanitarias y eléctricas</w:t>
            </w:r>
          </w:p>
        </w:tc>
        <w:tc>
          <w:tcPr>
            <w:tcW w:w="2156" w:type="dxa"/>
          </w:tcPr>
          <w:p>
            <w:pPr/>
            <w:r>
              <w:t xml:space="preserve">1.000</w:t>
            </w:r>
          </w:p>
        </w:tc>
        <w:tc>
          <w:tcPr>
            <w:tcW w:w="2329" w:type="dxa"/>
          </w:tcPr>
          <w:p>
            <w:pPr/>
            <w:r>
              <w:t xml:space="preserve">4 a 8</w:t>
            </w:r>
          </w:p>
        </w:tc>
      </w:tr>
      <w:tr>
        <w:tc>
          <w:tcPr>
            <w:tcW w:w="4873" w:type="dxa"/>
          </w:tcPr>
          <w:p>
            <w:pPr/>
            <w:r>
              <w:t xml:space="preserve">6. Acabados</w:t>
            </w:r>
          </w:p>
        </w:tc>
        <w:tc>
          <w:tcPr>
            <w:tcW w:w="2156" w:type="dxa"/>
          </w:tcPr>
          <w:p>
            <w:pPr/>
            <w:r>
              <w:t xml:space="preserve">1.500</w:t>
            </w:r>
          </w:p>
        </w:tc>
        <w:tc>
          <w:tcPr>
            <w:tcW w:w="2329" w:type="dxa"/>
          </w:tcPr>
          <w:p>
            <w:pPr/>
            <w:r>
              <w:t xml:space="preserve">6 a 8</w:t>
            </w:r>
          </w:p>
        </w:tc>
      </w:tr>
      <w:tr>
        <w:tc>
          <w:tcPr>
            <w:tcW w:w="4873" w:type="dxa"/>
          </w:tcPr>
          <w:p>
            <w:pPr/>
            <w:r>
              <w:t xml:space="preserve">7. Obras exteriores y urbanismo</w:t>
            </w:r>
          </w:p>
        </w:tc>
        <w:tc>
          <w:tcPr>
            <w:tcW w:w="2156" w:type="dxa"/>
          </w:tcPr>
          <w:p>
            <w:pPr/>
            <w:r>
              <w:t xml:space="preserve">300</w:t>
            </w:r>
          </w:p>
        </w:tc>
        <w:tc>
          <w:tcPr>
            <w:tcW w:w="2329" w:type="dxa"/>
          </w:tcPr>
          <w:p>
            <w:pPr/>
            <w:r>
              <w:t xml:space="preserve">7 y 8</w:t>
            </w:r>
          </w:p>
        </w:tc>
      </w:tr>
      <w:tr>
        <w:tc>
          <w:tcPr>
            <w:tcW w:w="4873" w:type="dxa"/>
          </w:tcPr>
          <w:p>
            <w:pPr/>
            <w:r>
              <w:rPr>
                <w:b/>
              </w:rPr>
              <w:t xml:space="preserve">Total</w:t>
            </w:r>
          </w:p>
        </w:tc>
        <w:tc>
          <w:tcPr>
            <w:tcW w:w="2156" w:type="dxa"/>
          </w:tcPr>
          <w:p>
            <w:pPr/>
            <w:r>
              <w:rPr>
                <w:b/>
              </w:rPr>
              <w:t xml:space="preserve">8.000</w:t>
            </w:r>
          </w:p>
        </w:tc>
        <w:tc>
          <w:tcPr>
            <w:tcW w:w="2329" w:type="dxa"/>
          </w:tcPr>
          <w:p>
            <w:pPr/>
          </w:p>
        </w:tc>
      </w:tr>
    </w:tbl>
    <w:p>
      <w:pPr/>
      <w:r>
        <w:rPr>
          <w:b/>
        </w:rPr>
        <w:t xml:space="preserve">Obra ejecutada según actas aprobadas por la interventoría</w:t>
      </w:r>
    </w:p>
    <w:tbl>
      <w:tblPr>
        <w:tblStyle w:val="TableGrid"/>
        <w:tblW w:w="0" w:type="auto"/>
        <w:tblLayout w:type="fixed"/>
        <w:tblLook w:val="04A0" w:firstRow="1" w:lastRow="0" w:firstColumn="0" w:lastColumn="0" w:noHBand="0" w:noVBand="1"/>
      </w:tblPr>
      <w:tblGrid>
        <w:gridCol w:w="4413"/>
        <w:gridCol w:w="989"/>
        <w:gridCol w:w="989"/>
        <w:gridCol w:w="989"/>
        <w:gridCol w:w="989"/>
        <w:gridCol w:w="989"/>
      </w:tblGrid>
      <w:tr>
        <w:trPr>
          <w:tblHeader/>
        </w:trPr>
        <w:tc>
          <w:tcPr>
            <w:tcW w:w="4413" w:type="dxa"/>
            <w:shd w:val="clear" w:color="auto" w:fill="F2F2F2"/>
          </w:tcPr>
          <w:p>
            <w:pPr/>
            <w:r>
              <w:t xml:space="preserve">Mes</w:t>
            </w:r>
          </w:p>
        </w:tc>
        <w:tc>
          <w:tcPr>
            <w:tcW w:w="989" w:type="dxa"/>
            <w:shd w:val="clear" w:color="auto" w:fill="F2F2F2"/>
          </w:tcPr>
          <w:p>
            <w:pPr/>
            <w:r>
              <w:t xml:space="preserve">1</w:t>
            </w:r>
          </w:p>
        </w:tc>
        <w:tc>
          <w:tcPr>
            <w:tcW w:w="989" w:type="dxa"/>
            <w:shd w:val="clear" w:color="auto" w:fill="F2F2F2"/>
          </w:tcPr>
          <w:p>
            <w:pPr/>
            <w:r>
              <w:t xml:space="preserve">2</w:t>
            </w:r>
          </w:p>
        </w:tc>
        <w:tc>
          <w:tcPr>
            <w:tcW w:w="989" w:type="dxa"/>
            <w:shd w:val="clear" w:color="auto" w:fill="F2F2F2"/>
          </w:tcPr>
          <w:p>
            <w:pPr/>
            <w:r>
              <w:t xml:space="preserve">3</w:t>
            </w:r>
          </w:p>
        </w:tc>
        <w:tc>
          <w:tcPr>
            <w:tcW w:w="989" w:type="dxa"/>
            <w:shd w:val="clear" w:color="auto" w:fill="F2F2F2"/>
          </w:tcPr>
          <w:p>
            <w:pPr/>
            <w:r>
              <w:t xml:space="preserve">4</w:t>
            </w:r>
          </w:p>
        </w:tc>
        <w:tc>
          <w:tcPr>
            <w:tcW w:w="989" w:type="dxa"/>
            <w:shd w:val="clear" w:color="auto" w:fill="F2F2F2"/>
          </w:tcPr>
          <w:p>
            <w:pPr/>
            <w:r>
              <w:t xml:space="preserve">5</w:t>
            </w:r>
          </w:p>
        </w:tc>
      </w:tr>
      <w:tr>
        <w:tc>
          <w:tcPr>
            <w:tcW w:w="4413" w:type="dxa"/>
          </w:tcPr>
          <w:p>
            <w:pPr/>
            <w:r>
              <w:t xml:space="preserve">Valor ejecutado ($ millones)</w:t>
            </w:r>
          </w:p>
        </w:tc>
        <w:tc>
          <w:tcPr>
            <w:tcW w:w="989" w:type="dxa"/>
          </w:tcPr>
          <w:p>
            <w:pPr/>
            <w:r>
              <w:t xml:space="preserve">150</w:t>
            </w:r>
          </w:p>
        </w:tc>
        <w:tc>
          <w:tcPr>
            <w:tcW w:w="989" w:type="dxa"/>
          </w:tcPr>
          <w:p>
            <w:pPr/>
            <w:r>
              <w:t xml:space="preserve">600</w:t>
            </w:r>
          </w:p>
        </w:tc>
        <w:tc>
          <w:tcPr>
            <w:tcW w:w="989" w:type="dxa"/>
          </w:tcPr>
          <w:p>
            <w:pPr/>
            <w:r>
              <w:t xml:space="preserve">900</w:t>
            </w:r>
          </w:p>
        </w:tc>
        <w:tc>
          <w:tcPr>
            <w:tcW w:w="989" w:type="dxa"/>
          </w:tcPr>
          <w:p>
            <w:pPr/>
            <w:r>
              <w:t xml:space="preserve">850</w:t>
            </w:r>
          </w:p>
        </w:tc>
        <w:tc>
          <w:tcPr>
            <w:tcW w:w="989" w:type="dxa"/>
          </w:tcPr>
          <w:p>
            <w:pPr/>
            <w:r>
              <w:t xml:space="preserve">900</w:t>
            </w:r>
          </w:p>
        </w:tc>
      </w:tr>
    </w:tbl>
    <w:p>
      <w:pPr>
        <w:pStyle w:val="ListParagraph"/>
        <w:numPr>
          <w:ilvl w:val="0"/>
          <w:numId w:val="41"/>
        </w:numPr>
      </w:pPr>
      <w:r>
        <w:rPr>
          <w:b/>
        </w:rPr>
        <w:t xml:space="preserve">(4 puntos)</w:t>
      </w:r>
      <w:r>
        <w:t xml:space="preserve"> Elabore el programa de inversiones mensual: un cuadro de actividades por meses con el valor programado de cada actividad en cada mes, el total mensual, el acumulado y el porcentaje acumulado.</w:t>
      </w:r>
    </w:p>
    <w:p>
      <w:pPr>
        <w:pStyle w:val="ListParagraph"/>
        <w:numPr>
          <w:ilvl w:val="0"/>
          <w:numId w:val="41"/>
        </w:numPr>
      </w:pPr>
      <w:r>
        <w:rPr>
          <w:b/>
        </w:rPr>
        <w:t xml:space="preserve">(4 puntos)</w:t>
      </w:r>
      <w:r>
        <w:t xml:space="preserve"> Dibuje la curva S programada (meses 0 a 8) y, sobre la misma gráfica, la curva ejecutada hasta el mes 5.</w:t>
      </w:r>
    </w:p>
    <w:p>
      <w:pPr>
        <w:pStyle w:val="ListParagraph"/>
        <w:numPr>
          <w:ilvl w:val="0"/>
          <w:numId w:val="41"/>
        </w:numPr>
      </w:pPr>
      <w:r>
        <w:rPr>
          <w:b/>
        </w:rPr>
        <w:t xml:space="preserve">(4 puntos)</w:t>
      </w:r>
      <w:r>
        <w:t xml:space="preserve"> Al corte del mes 5, calcule el porcentaje ejecutado acumulado, la desviación en puntos porcentuales y el índice de desempeño del cronograma (SPI = valor ejecutado acumulado / valor programado acumulado). ¿Debe exigir plan de contingencia? ¿Qué actividades revisaría primero y por qué?</w:t>
      </w:r>
    </w:p>
    <w:p>
      <w:pPr>
        <w:pStyle w:val="ListParagraph"/>
        <w:numPr>
          <w:ilvl w:val="0"/>
          <w:numId w:val="41"/>
        </w:numPr>
      </w:pPr>
      <w:r>
        <w:rPr>
          <w:b/>
        </w:rPr>
        <w:t xml:space="preserve">(5 puntos)</w:t>
      </w:r>
      <w:r>
        <w:t xml:space="preserve"> Con el programa aprobado, elabore el flujo de efectivo mensual del contratista (meses 0 a 10): ingresos (anticipo y pagos netos de actas), costos, flujo neto y flujo acumulado. Repita el cálculo sin anticipo (las actas se pagan con solo la retención del 5 %). Compare la máxima necesidad de capital de trabajo en ambos escenarios.</w:t>
      </w:r>
    </w:p>
    <w:p>
      <w:pPr>
        <w:pStyle w:val="ListParagraph"/>
        <w:numPr>
          <w:ilvl w:val="0"/>
          <w:numId w:val="41"/>
        </w:numPr>
      </w:pPr>
      <w:r>
        <w:rPr>
          <w:b/>
        </w:rPr>
        <w:t xml:space="preserve">(3 puntos)</w:t>
      </w:r>
      <w:r>
        <w:t xml:space="preserve"> Al corte del mes 5, ¿cuánto anticipo está amortizado y cuánto falta? Compárelo con lo que debería estar amortizado según el programa. ¿Qué riesgo representa para la entidad y qué controla el interventor sobre la fiducia?</w:t>
      </w:r>
    </w:p>
    <w:p>
      <w:pPr>
        <w:pStyle w:val="Heading3"/>
      </w:pPr>
      <w:r>
        <w:t xml:space="preserve">Caso integrador 3. Vía terciaria: suspensión, reprogramación y vigencias presupuestales (15 puntos)</w:t>
      </w:r>
    </w:p>
    <w:p>
      <w:pPr/>
      <w:r>
        <w:t xml:space="preserve">Un departamento contrata placa huella en 8 km de vía terciaria por $3.000 millones, sin anticipo, con inicio el 1 de septiembre de 2026 y plazo de 6 meses (hasta el 28 de febrero de 2027). Las actas mensuales se pagan el mes siguiente. El contrato se financia con dos fuentes: $1.950 millones de la vigencia 2026 y $1.050 millones de vigencia futura 2027.</w:t>
      </w:r>
    </w:p>
    <w:p>
      <w:pPr/>
      <w:r>
        <w:rPr>
          <w:b/>
        </w:rPr>
        <w:t xml:space="preserve">Programa original ($ millones)</w:t>
      </w:r>
    </w:p>
    <w:tbl>
      <w:tblPr>
        <w:tblStyle w:val="TableGrid"/>
        <w:tblW w:w="0" w:type="auto"/>
        <w:tblLayout w:type="fixed"/>
        <w:tblLook w:val="04A0" w:firstRow="1" w:lastRow="0" w:firstColumn="0" w:lastColumn="0" w:noHBand="0" w:noVBand="1"/>
      </w:tblPr>
      <w:tblGrid>
        <w:gridCol w:w="2020"/>
        <w:gridCol w:w="1250"/>
        <w:gridCol w:w="1195"/>
        <w:gridCol w:w="1250"/>
        <w:gridCol w:w="1195"/>
        <w:gridCol w:w="1250"/>
        <w:gridCol w:w="1195"/>
      </w:tblGrid>
      <w:tr>
        <w:trPr>
          <w:tblHeader/>
        </w:trPr>
        <w:tc>
          <w:tcPr>
            <w:tcW w:w="2020" w:type="dxa"/>
            <w:shd w:val="clear" w:color="auto" w:fill="F2F2F2"/>
          </w:tcPr>
          <w:p>
            <w:pPr/>
            <w:r>
              <w:t xml:space="preserve">Mes</w:t>
            </w:r>
          </w:p>
        </w:tc>
        <w:tc>
          <w:tcPr>
            <w:tcW w:w="1250" w:type="dxa"/>
            <w:shd w:val="clear" w:color="auto" w:fill="F2F2F2"/>
          </w:tcPr>
          <w:p>
            <w:pPr/>
            <w:r>
              <w:t xml:space="preserve">sep-26</w:t>
            </w:r>
          </w:p>
        </w:tc>
        <w:tc>
          <w:tcPr>
            <w:tcW w:w="1195" w:type="dxa"/>
            <w:shd w:val="clear" w:color="auto" w:fill="F2F2F2"/>
          </w:tcPr>
          <w:p>
            <w:pPr/>
            <w:r>
              <w:t xml:space="preserve">oct-26</w:t>
            </w:r>
          </w:p>
        </w:tc>
        <w:tc>
          <w:tcPr>
            <w:tcW w:w="1250" w:type="dxa"/>
            <w:shd w:val="clear" w:color="auto" w:fill="F2F2F2"/>
          </w:tcPr>
          <w:p>
            <w:pPr/>
            <w:r>
              <w:t xml:space="preserve">nov-26</w:t>
            </w:r>
          </w:p>
        </w:tc>
        <w:tc>
          <w:tcPr>
            <w:tcW w:w="1195" w:type="dxa"/>
            <w:shd w:val="clear" w:color="auto" w:fill="F2F2F2"/>
          </w:tcPr>
          <w:p>
            <w:pPr/>
            <w:r>
              <w:t xml:space="preserve">dic-26</w:t>
            </w:r>
          </w:p>
        </w:tc>
        <w:tc>
          <w:tcPr>
            <w:tcW w:w="1250" w:type="dxa"/>
            <w:shd w:val="clear" w:color="auto" w:fill="F2F2F2"/>
          </w:tcPr>
          <w:p>
            <w:pPr/>
            <w:r>
              <w:t xml:space="preserve">ene-27</w:t>
            </w:r>
          </w:p>
        </w:tc>
        <w:tc>
          <w:tcPr>
            <w:tcW w:w="1195" w:type="dxa"/>
            <w:shd w:val="clear" w:color="auto" w:fill="F2F2F2"/>
          </w:tcPr>
          <w:p>
            <w:pPr/>
            <w:r>
              <w:t xml:space="preserve">feb-27</w:t>
            </w:r>
          </w:p>
        </w:tc>
      </w:tr>
      <w:tr>
        <w:tc>
          <w:tcPr>
            <w:tcW w:w="2020" w:type="dxa"/>
          </w:tcPr>
          <w:p>
            <w:pPr/>
            <w:r>
              <w:t xml:space="preserve">Programado</w:t>
            </w:r>
          </w:p>
        </w:tc>
        <w:tc>
          <w:tcPr>
            <w:tcW w:w="1250" w:type="dxa"/>
          </w:tcPr>
          <w:p>
            <w:pPr/>
            <w:r>
              <w:t xml:space="preserve">300</w:t>
            </w:r>
          </w:p>
        </w:tc>
        <w:tc>
          <w:tcPr>
            <w:tcW w:w="1195" w:type="dxa"/>
          </w:tcPr>
          <w:p>
            <w:pPr/>
            <w:r>
              <w:t xml:space="preserve">450</w:t>
            </w:r>
          </w:p>
        </w:tc>
        <w:tc>
          <w:tcPr>
            <w:tcW w:w="1250" w:type="dxa"/>
          </w:tcPr>
          <w:p>
            <w:pPr/>
            <w:r>
              <w:t xml:space="preserve">600</w:t>
            </w:r>
          </w:p>
        </w:tc>
        <w:tc>
          <w:tcPr>
            <w:tcW w:w="1195" w:type="dxa"/>
          </w:tcPr>
          <w:p>
            <w:pPr/>
            <w:r>
              <w:t xml:space="preserve">600</w:t>
            </w:r>
          </w:p>
        </w:tc>
        <w:tc>
          <w:tcPr>
            <w:tcW w:w="1250" w:type="dxa"/>
          </w:tcPr>
          <w:p>
            <w:pPr/>
            <w:r>
              <w:t xml:space="preserve">600</w:t>
            </w:r>
          </w:p>
        </w:tc>
        <w:tc>
          <w:tcPr>
            <w:tcW w:w="1195" w:type="dxa"/>
          </w:tcPr>
          <w:p>
            <w:pPr/>
            <w:r>
              <w:t xml:space="preserve">450</w:t>
            </w:r>
          </w:p>
        </w:tc>
      </w:tr>
    </w:tbl>
    <w:p>
      <w:pPr/>
      <w:r>
        <w:rPr>
          <w:b/>
        </w:rPr>
        <w:t xml:space="preserve">Hechos</w:t>
      </w:r>
    </w:p>
    <w:p>
      <w:pPr>
        <w:pStyle w:val="ListParagraph"/>
        <w:numPr>
          <w:ilvl w:val="0"/>
          <w:numId w:val="42"/>
        </w:numPr>
      </w:pPr>
      <w:r>
        <w:t xml:space="preserve">Se ejecutaron $250 millones en septiembre y $350 millones en octubre.</w:t>
      </w:r>
    </w:p>
    <w:p>
      <w:pPr>
        <w:pStyle w:val="ListParagraph"/>
        <w:numPr>
          <w:ilvl w:val="0"/>
          <w:numId w:val="42"/>
        </w:numPr>
      </w:pPr>
      <w:r>
        <w:t xml:space="preserve">Por la ola invernal, con declaratoria de calamidad pública departamental, el contrato se suspende del 1 de noviembre al 31 de diciembre de 2026 y se reinicia el 1 de enero de 2027.</w:t>
      </w:r>
    </w:p>
    <w:p>
      <w:pPr>
        <w:pStyle w:val="ListParagraph"/>
        <w:numPr>
          <w:ilvl w:val="0"/>
          <w:numId w:val="42"/>
        </w:numPr>
      </w:pPr>
      <w:r>
        <w:t xml:space="preserve">El contratista propone esta reprogramación del saldo: enero $600, febrero $650, marzo $650 y abril $500 millones.</w:t>
      </w:r>
    </w:p>
    <w:p>
      <w:pPr>
        <w:pStyle w:val="ListParagraph"/>
        <w:numPr>
          <w:ilvl w:val="0"/>
          <w:numId w:val="42"/>
        </w:numPr>
      </w:pPr>
      <w:r>
        <w:t xml:space="preserve">El contratista reclama $180 millones por vigilancia de la obra y alquiler de equipo inactivo durante la suspensión.</w:t>
      </w:r>
    </w:p>
    <w:p>
      <w:pPr>
        <w:pStyle w:val="ListParagraph"/>
        <w:numPr>
          <w:ilvl w:val="0"/>
          <w:numId w:val="43"/>
        </w:numPr>
      </w:pPr>
      <w:r>
        <w:rPr>
          <w:b/>
        </w:rPr>
        <w:t xml:space="preserve">(4 puntos)</w:t>
      </w:r>
      <w:r>
        <w:t xml:space="preserve"> Elabore en una sola gráfica, en meses calendario de septiembre de 2026 a abril de 2027, la curva S original, la curva ejecutada hasta octubre y la curva reprogramada. Calcule la desviación al corte de octubre y la nueva fecha de terminación.</w:t>
      </w:r>
    </w:p>
    <w:p>
      <w:pPr>
        <w:pStyle w:val="ListParagraph"/>
        <w:numPr>
          <w:ilvl w:val="0"/>
          <w:numId w:val="43"/>
        </w:numPr>
      </w:pPr>
      <w:r>
        <w:rPr>
          <w:b/>
        </w:rPr>
        <w:t xml:space="preserve">(4 puntos)</w:t>
      </w:r>
      <w:r>
        <w:t xml:space="preserve"> Elabore el flujo de pagos de la entidad por vigencia con el programa original y con la reprogramación. ¿Cuánto de lo comprometido en 2026 no se ejecuta en 2026? ¿Con qué recursos y mecanismos presupuestales se paga lo que queda en 2027? ¿Qué debe informar el interventor y antes de qué fecha?</w:t>
      </w:r>
    </w:p>
    <w:p>
      <w:pPr>
        <w:pStyle w:val="ListParagraph"/>
        <w:numPr>
          <w:ilvl w:val="0"/>
          <w:numId w:val="43"/>
        </w:numPr>
      </w:pPr>
      <w:r>
        <w:rPr>
          <w:b/>
        </w:rPr>
        <w:t xml:space="preserve">(4 puntos)</w:t>
      </w:r>
      <w:r>
        <w:t xml:space="preserve"> Enumere los documentos y requisitos de la suspensión y del reinicio que debió verificar el interventor.</w:t>
      </w:r>
    </w:p>
    <w:p>
      <w:pPr>
        <w:pStyle w:val="ListParagraph"/>
        <w:numPr>
          <w:ilvl w:val="0"/>
          <w:numId w:val="43"/>
        </w:numPr>
      </w:pPr>
      <w:r>
        <w:rPr>
          <w:b/>
        </w:rPr>
        <w:t xml:space="preserve">(3 puntos)</w:t>
      </w:r>
      <w:r>
        <w:t xml:space="preserve"> ¿Cómo analiza la reclamación de $180 millones? ¿Qué debe revisar en el contrato y qué soportes exige?</w:t>
      </w:r>
    </w:p>
    <w:p>
      <w:pPr>
        <w:pStyle w:val="Heading3"/>
      </w:pPr>
      <w:r>
        <w:t xml:space="preserve">Caso integrador 4. Planta de tratamiento de aguas residuales: cierre y liquidación (15 puntos)</w:t>
      </w:r>
    </w:p>
    <w:p>
      <w:pPr/>
      <w:r>
        <w:t xml:space="preserve">Un municipio contrató la construcción de una PTAR por $22.000 millones a precios unitarios, con anticipo del 30 %. La obra civil terminó. Falta el arranque y la estabilización del proceso biológico, que el contrato fija en 90 días con la operación a cargo del contratista. El operador municipal recibirá la planta al final.</w:t>
      </w:r>
    </w:p>
    <w:p>
      <w:pPr/>
      <w:r>
        <w:rPr>
          <w:b/>
        </w:rPr>
        <w:t xml:space="preserve">Datos para el balance final ($ millones)</w:t>
      </w:r>
    </w:p>
    <w:tbl>
      <w:tblPr>
        <w:tblStyle w:val="TableGrid"/>
        <w:tblW w:w="0" w:type="auto"/>
        <w:tblLayout w:type="fixed"/>
        <w:tblLook w:val="04A0" w:firstRow="1" w:lastRow="0" w:firstColumn="0" w:lastColumn="0" w:noHBand="0" w:noVBand="1"/>
      </w:tblPr>
      <w:tblGrid>
        <w:gridCol w:w="7899"/>
        <w:gridCol w:w="1460"/>
      </w:tblGrid>
      <w:tr>
        <w:trPr>
          <w:tblHeader/>
        </w:trPr>
        <w:tc>
          <w:tcPr>
            <w:tcW w:w="7899" w:type="dxa"/>
            <w:shd w:val="clear" w:color="auto" w:fill="F2F2F2"/>
          </w:tcPr>
          <w:p>
            <w:pPr/>
            <w:r>
              <w:t xml:space="preserve">Concepto</w:t>
            </w:r>
          </w:p>
        </w:tc>
        <w:tc>
          <w:tcPr>
            <w:tcW w:w="1460" w:type="dxa"/>
            <w:shd w:val="clear" w:color="auto" w:fill="F2F2F2"/>
          </w:tcPr>
          <w:p>
            <w:pPr/>
            <w:r>
              <w:t xml:space="preserve">Valor</w:t>
            </w:r>
          </w:p>
        </w:tc>
      </w:tr>
      <w:tr>
        <w:tc>
          <w:tcPr>
            <w:tcW w:w="7899" w:type="dxa"/>
          </w:tcPr>
          <w:p>
            <w:pPr/>
            <w:r>
              <w:t xml:space="preserve">Valor inicial del contrato</w:t>
            </w:r>
          </w:p>
        </w:tc>
        <w:tc>
          <w:tcPr>
            <w:tcW w:w="1460" w:type="dxa"/>
          </w:tcPr>
          <w:p>
            <w:pPr/>
            <w:r>
              <w:t xml:space="preserve">22.000</w:t>
            </w:r>
          </w:p>
        </w:tc>
      </w:tr>
      <w:tr>
        <w:tc>
          <w:tcPr>
            <w:tcW w:w="7899" w:type="dxa"/>
          </w:tcPr>
          <w:p>
            <w:pPr/>
            <w:r>
              <w:t xml:space="preserve">Adición suscrita (con disponibilidad presupuestal)</w:t>
            </w:r>
          </w:p>
        </w:tc>
        <w:tc>
          <w:tcPr>
            <w:tcW w:w="1460" w:type="dxa"/>
          </w:tcPr>
          <w:p>
            <w:pPr/>
            <w:r>
              <w:t xml:space="preserve">3.000</w:t>
            </w:r>
          </w:p>
        </w:tc>
      </w:tr>
      <w:tr>
        <w:tc>
          <w:tcPr>
            <w:tcW w:w="7899" w:type="dxa"/>
          </w:tcPr>
          <w:p>
            <w:pPr/>
            <w:r>
              <w:t xml:space="preserve">Obra ejecutada en ítems contractuales (con mayores y menores cantidades)</w:t>
            </w:r>
          </w:p>
        </w:tc>
        <w:tc>
          <w:tcPr>
            <w:tcW w:w="1460" w:type="dxa"/>
          </w:tcPr>
          <w:p>
            <w:pPr/>
            <w:r>
              <w:t xml:space="preserve">23.400</w:t>
            </w:r>
          </w:p>
        </w:tc>
      </w:tr>
      <w:tr>
        <w:tc>
          <w:tcPr>
            <w:tcW w:w="7899" w:type="dxa"/>
          </w:tcPr>
          <w:p>
            <w:pPr/>
            <w:r>
              <w:t xml:space="preserve">Obra ejecutada en ítems no previstos aprobados</w:t>
            </w:r>
          </w:p>
        </w:tc>
        <w:tc>
          <w:tcPr>
            <w:tcW w:w="1460" w:type="dxa"/>
          </w:tcPr>
          <w:p>
            <w:pPr/>
            <w:r>
              <w:t xml:space="preserve">1.100</w:t>
            </w:r>
          </w:p>
        </w:tc>
      </w:tr>
      <w:tr>
        <w:tc>
          <w:tcPr>
            <w:tcW w:w="7899" w:type="dxa"/>
          </w:tcPr>
          <w:p>
            <w:pPr/>
            <w:r>
              <w:t xml:space="preserve">Valor bruto de las actas ya pagadas</w:t>
            </w:r>
          </w:p>
        </w:tc>
        <w:tc>
          <w:tcPr>
            <w:tcW w:w="1460" w:type="dxa"/>
          </w:tcPr>
          <w:p>
            <w:pPr/>
            <w:r>
              <w:t xml:space="preserve">23.100</w:t>
            </w:r>
          </w:p>
        </w:tc>
      </w:tr>
      <w:tr>
        <w:tc>
          <w:tcPr>
            <w:tcW w:w="7899" w:type="dxa"/>
          </w:tcPr>
          <w:p>
            <w:pPr/>
            <w:r>
              <w:t xml:space="preserve">Anticipo girado</w:t>
            </w:r>
          </w:p>
        </w:tc>
        <w:tc>
          <w:tcPr>
            <w:tcW w:w="1460" w:type="dxa"/>
          </w:tcPr>
          <w:p>
            <w:pPr/>
            <w:r>
              <w:t xml:space="preserve">6.600</w:t>
            </w:r>
          </w:p>
        </w:tc>
      </w:tr>
      <w:tr>
        <w:tc>
          <w:tcPr>
            <w:tcW w:w="7899" w:type="dxa"/>
          </w:tcPr>
          <w:p>
            <w:pPr/>
            <w:r>
              <w:t xml:space="preserve">Anticipo amortizado en actas pagadas</w:t>
            </w:r>
          </w:p>
        </w:tc>
        <w:tc>
          <w:tcPr>
            <w:tcW w:w="1460" w:type="dxa"/>
          </w:tcPr>
          <w:p>
            <w:pPr/>
            <w:r>
              <w:t xml:space="preserve">6.300</w:t>
            </w:r>
          </w:p>
        </w:tc>
      </w:tr>
      <w:tr>
        <w:tc>
          <w:tcPr>
            <w:tcW w:w="7899" w:type="dxa"/>
          </w:tcPr>
          <w:p>
            <w:pPr/>
            <w:r>
              <w:t xml:space="preserve">Rendimientos financieros del anticipo generados en la fiducia</w:t>
            </w:r>
          </w:p>
        </w:tc>
        <w:tc>
          <w:tcPr>
            <w:tcW w:w="1460" w:type="dxa"/>
          </w:tcPr>
          <w:p>
            <w:pPr/>
            <w:r>
              <w:t xml:space="preserve">180</w:t>
            </w:r>
          </w:p>
        </w:tc>
      </w:tr>
      <w:tr>
        <w:tc>
          <w:tcPr>
            <w:tcW w:w="7899" w:type="dxa"/>
          </w:tcPr>
          <w:p>
            <w:pPr/>
            <w:r>
              <w:t xml:space="preserve">Rendimientos ya reintegrados a la entidad</w:t>
            </w:r>
          </w:p>
        </w:tc>
        <w:tc>
          <w:tcPr>
            <w:tcW w:w="1460" w:type="dxa"/>
          </w:tcPr>
          <w:p>
            <w:pPr/>
            <w:r>
              <w:t xml:space="preserve">120</w:t>
            </w:r>
          </w:p>
        </w:tc>
      </w:tr>
      <w:tr>
        <w:tc>
          <w:tcPr>
            <w:tcW w:w="7899" w:type="dxa"/>
          </w:tcPr>
          <w:p>
            <w:pPr/>
            <w:r>
              <w:t xml:space="preserve">Multa impuesta en firme y no pagada</w:t>
            </w:r>
          </w:p>
        </w:tc>
        <w:tc>
          <w:tcPr>
            <w:tcW w:w="1460" w:type="dxa"/>
          </w:tcPr>
          <w:p>
            <w:pPr/>
            <w:r>
              <w:t xml:space="preserve">150</w:t>
            </w:r>
          </w:p>
        </w:tc>
      </w:tr>
    </w:tbl>
    <w:p>
      <w:pPr/>
      <w:r>
        <w:rPr>
          <w:b/>
        </w:rPr>
        <w:t xml:space="preserve">Hechos</w:t>
      </w:r>
    </w:p>
    <w:p>
      <w:pPr>
        <w:pStyle w:val="ListParagraph"/>
        <w:numPr>
          <w:ilvl w:val="0"/>
          <w:numId w:val="44"/>
        </w:numPr>
      </w:pPr>
      <w:r>
        <w:t xml:space="preserve">En la prueba de arranque, la remoción de DBO5 llega al 62 %. El diseño y el permiso de vertimiento exigen al menos 80 %.</w:t>
      </w:r>
    </w:p>
    <w:p>
      <w:pPr>
        <w:pStyle w:val="ListParagraph"/>
        <w:numPr>
          <w:ilvl w:val="0"/>
          <w:numId w:val="44"/>
        </w:numPr>
      </w:pPr>
      <w:r>
        <w:t xml:space="preserve">El contratista pide firmar el acta de recibo final porque la obra civil está terminada.</w:t>
      </w:r>
    </w:p>
    <w:p>
      <w:pPr>
        <w:pStyle w:val="ListParagraph"/>
        <w:numPr>
          <w:ilvl w:val="0"/>
          <w:numId w:val="44"/>
        </w:numPr>
      </w:pPr>
      <w:r>
        <w:t xml:space="preserve">En la liquidación bilateral, el contratista quiere dejar salvedades por $900 millones de mayor permanencia en obra.</w:t>
      </w:r>
    </w:p>
    <w:p>
      <w:pPr>
        <w:pStyle w:val="ListParagraph"/>
        <w:numPr>
          <w:ilvl w:val="0"/>
          <w:numId w:val="45"/>
        </w:numPr>
      </w:pPr>
      <w:r>
        <w:rPr>
          <w:b/>
        </w:rPr>
        <w:t xml:space="preserve">(5 puntos)</w:t>
      </w:r>
      <w:r>
        <w:t xml:space="preserve"> Elabore el balance financiero final: valor total del contrato, valor ejecutado, saldo por ejecutar a liberar, valor del acta final, descuentos que proceden y saldo neto a favor del contratista o de la entidad.</w:t>
      </w:r>
    </w:p>
    <w:p>
      <w:pPr>
        <w:pStyle w:val="ListParagraph"/>
        <w:numPr>
          <w:ilvl w:val="0"/>
          <w:numId w:val="45"/>
        </w:numPr>
      </w:pPr>
      <w:r>
        <w:rPr>
          <w:b/>
        </w:rPr>
        <w:t xml:space="preserve">(4 puntos)</w:t>
      </w:r>
      <w:r>
        <w:t xml:space="preserve"> ¿Recomienda el recibo final? Explique qué controles técnicos y ambientales aplica al arranque y la estabilización, y qué papel tienen el operador y la autoridad ambiental.</w:t>
      </w:r>
    </w:p>
    <w:p>
      <w:pPr>
        <w:pStyle w:val="ListParagraph"/>
        <w:numPr>
          <w:ilvl w:val="0"/>
          <w:numId w:val="45"/>
        </w:numPr>
      </w:pPr>
      <w:r>
        <w:rPr>
          <w:b/>
        </w:rPr>
        <w:t xml:space="preserve">(3 puntos)</w:t>
      </w:r>
      <w:r>
        <w:t xml:space="preserve"> ¿Cómo trata las salvedades del contratista en la liquidación? ¿Qué pasa si el contratista no firma?</w:t>
      </w:r>
    </w:p>
    <w:p>
      <w:pPr>
        <w:pStyle w:val="ListParagraph"/>
        <w:numPr>
          <w:ilvl w:val="0"/>
          <w:numId w:val="45"/>
        </w:numPr>
      </w:pPr>
      <w:r>
        <w:rPr>
          <w:b/>
        </w:rPr>
        <w:t xml:space="preserve">(3 puntos)</w:t>
      </w:r>
      <w:r>
        <w:t xml:space="preserve"> ¿Qué garantías y documentos deben quedar vigentes o entregados al cerrar el contrato?</w:t>
      </w:r>
    </w:p>
    <w:p>
      <w:pPr>
        <w:pStyle w:val="Heading2"/>
      </w:pPr>
      <w:r>
        <w:t xml:space="preserve">Clave de respuestas y criterios de calificación</w:t>
      </w:r>
    </w:p>
    <w:p>
      <w:pPr/>
      <w:r>
        <w:t xml:space="preserve">Esta sección es para el evaluador. Las referencias normativas se verificaron el 20 de octubre de 2026 con fuentes secundarias; el resultado está en la sección final, Verificación normativa.</w:t>
      </w:r>
    </w:p>
    <w:p>
      <w:pPr>
        <w:pStyle w:val="Heading3"/>
      </w:pPr>
      <w:r>
        <w:t xml:space="preserve">Clave de la Parte I</w:t>
      </w:r>
    </w:p>
    <w:tbl>
      <w:tblPr>
        <w:tblStyle w:val="TableGrid"/>
        <w:tblW w:w="0" w:type="auto"/>
        <w:tblLayout w:type="fixed"/>
        <w:tblLook w:val="04A0" w:firstRow="1" w:lastRow="0" w:firstColumn="0" w:lastColumn="0" w:noHBand="0" w:noVBand="1"/>
      </w:tblPr>
      <w:tblGrid>
        <w:gridCol w:w="720"/>
        <w:gridCol w:w="829"/>
        <w:gridCol w:w="2891"/>
        <w:gridCol w:w="4920"/>
      </w:tblGrid>
      <w:tr>
        <w:trPr>
          <w:tblHeader/>
        </w:trPr>
        <w:tc>
          <w:tcPr>
            <w:tcW w:w="720" w:type="dxa"/>
            <w:shd w:val="clear" w:color="auto" w:fill="F2F2F2"/>
          </w:tcPr>
          <w:p>
            <w:pPr/>
            <w:r>
              <w:t xml:space="preserve">N.º</w:t>
            </w:r>
          </w:p>
        </w:tc>
        <w:tc>
          <w:tcPr>
            <w:tcW w:w="829" w:type="dxa"/>
            <w:shd w:val="clear" w:color="auto" w:fill="F2F2F2"/>
          </w:tcPr>
          <w:p>
            <w:pPr/>
            <w:r>
              <w:t xml:space="preserve">Resp.</w:t>
            </w:r>
          </w:p>
        </w:tc>
        <w:tc>
          <w:tcPr>
            <w:tcW w:w="2891" w:type="dxa"/>
            <w:shd w:val="clear" w:color="auto" w:fill="F2F2F2"/>
          </w:tcPr>
          <w:p>
            <w:pPr/>
            <w:r>
              <w:t xml:space="preserve">Control</w:t>
            </w:r>
          </w:p>
        </w:tc>
        <w:tc>
          <w:tcPr>
            <w:tcW w:w="4920" w:type="dxa"/>
            <w:shd w:val="clear" w:color="auto" w:fill="F2F2F2"/>
          </w:tcPr>
          <w:p>
            <w:pPr/>
            <w:r>
              <w:t xml:space="preserve">Fundamento</w:t>
            </w:r>
          </w:p>
        </w:tc>
      </w:tr>
      <w:tr>
        <w:tc>
          <w:tcPr>
            <w:tcW w:w="720" w:type="dxa"/>
          </w:tcPr>
          <w:p>
            <w:pPr/>
            <w:r>
              <w:t xml:space="preserve">1</w:t>
            </w:r>
          </w:p>
        </w:tc>
        <w:tc>
          <w:tcPr>
            <w:tcW w:w="829" w:type="dxa"/>
          </w:tcPr>
          <w:p>
            <w:pPr/>
            <w:r>
              <w:t xml:space="preserve">c</w:t>
            </w:r>
          </w:p>
        </w:tc>
        <w:tc>
          <w:tcPr>
            <w:tcW w:w="2891" w:type="dxa"/>
          </w:tcPr>
          <w:p>
            <w:pPr/>
            <w:r>
              <w:t xml:space="preserve">Técnico</w:t>
            </w:r>
          </w:p>
        </w:tc>
        <w:tc>
          <w:tcPr>
            <w:tcW w:w="4920" w:type="dxa"/>
          </w:tcPr>
          <w:p>
            <w:pPr/>
            <w:r>
              <w:t xml:space="preserve">No se avanza a la capa siguiente sin cumplir la especificación; la bitácora deja la prueba.</w:t>
            </w:r>
          </w:p>
        </w:tc>
      </w:tr>
      <w:tr>
        <w:tc>
          <w:tcPr>
            <w:tcW w:w="720" w:type="dxa"/>
          </w:tcPr>
          <w:p>
            <w:pPr/>
            <w:r>
              <w:t xml:space="preserve">2</w:t>
            </w:r>
          </w:p>
        </w:tc>
        <w:tc>
          <w:tcPr>
            <w:tcW w:w="829" w:type="dxa"/>
          </w:tcPr>
          <w:p>
            <w:pPr/>
            <w:r>
              <w:t xml:space="preserve">a</w:t>
            </w:r>
          </w:p>
        </w:tc>
        <w:tc>
          <w:tcPr>
            <w:tcW w:w="2891" w:type="dxa"/>
          </w:tcPr>
          <w:p>
            <w:pPr/>
            <w:r>
              <w:t xml:space="preserve">Técnico</w:t>
            </w:r>
          </w:p>
        </w:tc>
        <w:tc>
          <w:tcPr>
            <w:tcW w:w="4920" w:type="dxa"/>
          </w:tcPr>
          <w:p>
            <w:pPr/>
            <w:r>
              <w:t xml:space="preserve">La NSR-10 (C.5.6) prevé la investigación con núcleos y evaluación estructural antes de demoler.</w:t>
            </w:r>
          </w:p>
        </w:tc>
      </w:tr>
      <w:tr>
        <w:tc>
          <w:tcPr>
            <w:tcW w:w="720" w:type="dxa"/>
          </w:tcPr>
          <w:p>
            <w:pPr/>
            <w:r>
              <w:t xml:space="preserve">3</w:t>
            </w:r>
          </w:p>
        </w:tc>
        <w:tc>
          <w:tcPr>
            <w:tcW w:w="829" w:type="dxa"/>
          </w:tcPr>
          <w:p>
            <w:pPr/>
            <w:r>
              <w:t xml:space="preserve">d</w:t>
            </w:r>
          </w:p>
        </w:tc>
        <w:tc>
          <w:tcPr>
            <w:tcW w:w="2891" w:type="dxa"/>
          </w:tcPr>
          <w:p>
            <w:pPr/>
            <w:r>
              <w:t xml:space="preserve">Técnico y financiero</w:t>
            </w:r>
          </w:p>
        </w:tc>
        <w:tc>
          <w:tcPr>
            <w:tcW w:w="4920" w:type="dxa"/>
          </w:tcPr>
          <w:p>
            <w:pPr/>
            <w:r>
              <w:t xml:space="preserve">Solo se paga lo medido y soportado; pagar de más es detrimento patrimonial.</w:t>
            </w:r>
          </w:p>
        </w:tc>
      </w:tr>
      <w:tr>
        <w:tc>
          <w:tcPr>
            <w:tcW w:w="720" w:type="dxa"/>
          </w:tcPr>
          <w:p>
            <w:pPr/>
            <w:r>
              <w:t xml:space="preserve">4</w:t>
            </w:r>
          </w:p>
        </w:tc>
        <w:tc>
          <w:tcPr>
            <w:tcW w:w="829" w:type="dxa"/>
          </w:tcPr>
          <w:p>
            <w:pPr/>
            <w:r>
              <w:t xml:space="preserve">c</w:t>
            </w:r>
          </w:p>
        </w:tc>
        <w:tc>
          <w:tcPr>
            <w:tcW w:w="2891" w:type="dxa"/>
          </w:tcPr>
          <w:p>
            <w:pPr/>
            <w:r>
              <w:t xml:space="preserve">Técnico, financiero y jurídico</w:t>
            </w:r>
          </w:p>
        </w:tc>
        <w:tc>
          <w:tcPr>
            <w:tcW w:w="4920" w:type="dxa"/>
          </w:tcPr>
          <w:p>
            <w:pPr/>
            <w:r>
              <w:t xml:space="preserve">El interventor conceptuúa; la entidad aprueba y formaliza con respaldo presupuestal. Se prohíben los hechos cumplidos.</w:t>
            </w:r>
          </w:p>
        </w:tc>
      </w:tr>
      <w:tr>
        <w:tc>
          <w:tcPr>
            <w:tcW w:w="720" w:type="dxa"/>
          </w:tcPr>
          <w:p>
            <w:pPr/>
            <w:r>
              <w:t xml:space="preserve">5</w:t>
            </w:r>
          </w:p>
        </w:tc>
        <w:tc>
          <w:tcPr>
            <w:tcW w:w="829" w:type="dxa"/>
          </w:tcPr>
          <w:p>
            <w:pPr/>
            <w:r>
              <w:t xml:space="preserve">b</w:t>
            </w:r>
          </w:p>
        </w:tc>
        <w:tc>
          <w:tcPr>
            <w:tcW w:w="2891" w:type="dxa"/>
          </w:tcPr>
          <w:p>
            <w:pPr/>
            <w:r>
              <w:t xml:space="preserve">Técnico y jurídico</w:t>
            </w:r>
          </w:p>
        </w:tc>
        <w:tc>
          <w:tcPr>
            <w:tcW w:w="4920" w:type="dxa"/>
          </w:tcPr>
          <w:p>
            <w:pPr/>
            <w:r>
              <w:t xml:space="preserve">El interventor no cambia diseños; el diseñador responde por ellos y la entidad decide.</w:t>
            </w:r>
          </w:p>
        </w:tc>
      </w:tr>
      <w:tr>
        <w:tc>
          <w:tcPr>
            <w:tcW w:w="720" w:type="dxa"/>
          </w:tcPr>
          <w:p>
            <w:pPr/>
            <w:r>
              <w:t xml:space="preserve">6</w:t>
            </w:r>
          </w:p>
        </w:tc>
        <w:tc>
          <w:tcPr>
            <w:tcW w:w="829" w:type="dxa"/>
          </w:tcPr>
          <w:p>
            <w:pPr/>
            <w:r>
              <w:t xml:space="preserve">d</w:t>
            </w:r>
          </w:p>
        </w:tc>
        <w:tc>
          <w:tcPr>
            <w:tcW w:w="2891" w:type="dxa"/>
          </w:tcPr>
          <w:p>
            <w:pPr/>
            <w:r>
              <w:t xml:space="preserve">Administrativo</w:t>
            </w:r>
          </w:p>
        </w:tc>
        <w:tc>
          <w:tcPr>
            <w:tcW w:w="4920" w:type="dxa"/>
          </w:tcPr>
          <w:p>
            <w:pPr/>
            <w:r>
              <w:t xml:space="preserve">El personal ofrecido fue factor de evaluación; el reemplazo debe cumplir al menos el perfil exigido.</w:t>
            </w:r>
          </w:p>
        </w:tc>
      </w:tr>
      <w:tr>
        <w:tc>
          <w:tcPr>
            <w:tcW w:w="720" w:type="dxa"/>
          </w:tcPr>
          <w:p>
            <w:pPr/>
            <w:r>
              <w:t xml:space="preserve">7</w:t>
            </w:r>
          </w:p>
        </w:tc>
        <w:tc>
          <w:tcPr>
            <w:tcW w:w="829" w:type="dxa"/>
          </w:tcPr>
          <w:p>
            <w:pPr/>
            <w:r>
              <w:t xml:space="preserve">a</w:t>
            </w:r>
          </w:p>
        </w:tc>
        <w:tc>
          <w:tcPr>
            <w:tcW w:w="2891" w:type="dxa"/>
          </w:tcPr>
          <w:p>
            <w:pPr/>
            <w:r>
              <w:t xml:space="preserve">Administrativo</w:t>
            </w:r>
          </w:p>
        </w:tc>
        <w:tc>
          <w:tcPr>
            <w:tcW w:w="4920" w:type="dxa"/>
          </w:tcPr>
          <w:p>
            <w:pPr/>
            <w:r>
              <w:t xml:space="preserve">La bitácora es el registro diario oficial y sirve como prueba.</w:t>
            </w:r>
          </w:p>
        </w:tc>
      </w:tr>
      <w:tr>
        <w:tc>
          <w:tcPr>
            <w:tcW w:w="720" w:type="dxa"/>
          </w:tcPr>
          <w:p>
            <w:pPr/>
            <w:r>
              <w:t xml:space="preserve">8</w:t>
            </w:r>
          </w:p>
        </w:tc>
        <w:tc>
          <w:tcPr>
            <w:tcW w:w="829" w:type="dxa"/>
          </w:tcPr>
          <w:p>
            <w:pPr/>
            <w:r>
              <w:t xml:space="preserve">c</w:t>
            </w:r>
          </w:p>
        </w:tc>
        <w:tc>
          <w:tcPr>
            <w:tcW w:w="2891" w:type="dxa"/>
          </w:tcPr>
          <w:p>
            <w:pPr/>
            <w:r>
              <w:t xml:space="preserve">Jurídico</w:t>
            </w:r>
          </w:p>
        </w:tc>
        <w:tc>
          <w:tcPr>
            <w:tcW w:w="4920" w:type="dxa"/>
          </w:tcPr>
          <w:p>
            <w:pPr/>
            <w:r>
              <w:t xml:space="preserve">Artículo 83 de la Ley 1474 de 2011.</w:t>
            </w:r>
          </w:p>
        </w:tc>
      </w:tr>
      <w:tr>
        <w:tc>
          <w:tcPr>
            <w:tcW w:w="720" w:type="dxa"/>
          </w:tcPr>
          <w:p>
            <w:pPr/>
            <w:r>
              <w:t xml:space="preserve">9</w:t>
            </w:r>
          </w:p>
        </w:tc>
        <w:tc>
          <w:tcPr>
            <w:tcW w:w="829" w:type="dxa"/>
          </w:tcPr>
          <w:p>
            <w:pPr/>
            <w:r>
              <w:t xml:space="preserve">b</w:t>
            </w:r>
          </w:p>
        </w:tc>
        <w:tc>
          <w:tcPr>
            <w:tcW w:w="2891" w:type="dxa"/>
          </w:tcPr>
          <w:p>
            <w:pPr/>
            <w:r>
              <w:t xml:space="preserve">Financiero y jurídico</w:t>
            </w:r>
          </w:p>
        </w:tc>
        <w:tc>
          <w:tcPr>
            <w:tcW w:w="4920" w:type="dxa"/>
          </w:tcPr>
          <w:p>
            <w:pPr/>
            <w:r>
              <w:t xml:space="preserve">El anticipo es recurso público hasta su amortización; solo se usa según el plan de inversión.</w:t>
            </w:r>
          </w:p>
        </w:tc>
      </w:tr>
      <w:tr>
        <w:tc>
          <w:tcPr>
            <w:tcW w:w="720" w:type="dxa"/>
          </w:tcPr>
          <w:p>
            <w:pPr/>
            <w:r>
              <w:t xml:space="preserve">10</w:t>
            </w:r>
          </w:p>
        </w:tc>
        <w:tc>
          <w:tcPr>
            <w:tcW w:w="829" w:type="dxa"/>
          </w:tcPr>
          <w:p>
            <w:pPr/>
            <w:r>
              <w:t xml:space="preserve">d</w:t>
            </w:r>
          </w:p>
        </w:tc>
        <w:tc>
          <w:tcPr>
            <w:tcW w:w="2891" w:type="dxa"/>
          </w:tcPr>
          <w:p>
            <w:pPr/>
            <w:r>
              <w:t xml:space="preserve">Financiero</w:t>
            </w:r>
          </w:p>
        </w:tc>
        <w:tc>
          <w:tcPr>
            <w:tcW w:w="4920" w:type="dxa"/>
          </w:tcPr>
          <w:p>
            <w:pPr/>
            <w:r>
              <w:t xml:space="preserve">Artículo 91 de la Ley 1474 de 2011.</w:t>
            </w:r>
          </w:p>
        </w:tc>
      </w:tr>
      <w:tr>
        <w:tc>
          <w:tcPr>
            <w:tcW w:w="720" w:type="dxa"/>
          </w:tcPr>
          <w:p>
            <w:pPr/>
            <w:r>
              <w:t xml:space="preserve">11</w:t>
            </w:r>
          </w:p>
        </w:tc>
        <w:tc>
          <w:tcPr>
            <w:tcW w:w="829" w:type="dxa"/>
          </w:tcPr>
          <w:p>
            <w:pPr/>
            <w:r>
              <w:t xml:space="preserve">a</w:t>
            </w:r>
          </w:p>
        </w:tc>
        <w:tc>
          <w:tcPr>
            <w:tcW w:w="2891" w:type="dxa"/>
          </w:tcPr>
          <w:p>
            <w:pPr/>
            <w:r>
              <w:t xml:space="preserve">Financiero y jurídico</w:t>
            </w:r>
          </w:p>
        </w:tc>
        <w:tc>
          <w:tcPr>
            <w:tcW w:w="4920" w:type="dxa"/>
          </w:tcPr>
          <w:p>
            <w:pPr/>
            <w:r>
              <w:t xml:space="preserve">Artículo 23 de la Ley 1150 de 2007 y artículo 50 de la Ley 789 de 2002.</w:t>
            </w:r>
          </w:p>
        </w:tc>
      </w:tr>
      <w:tr>
        <w:tc>
          <w:tcPr>
            <w:tcW w:w="720" w:type="dxa"/>
          </w:tcPr>
          <w:p>
            <w:pPr/>
            <w:r>
              <w:t xml:space="preserve">12</w:t>
            </w:r>
          </w:p>
        </w:tc>
        <w:tc>
          <w:tcPr>
            <w:tcW w:w="829" w:type="dxa"/>
          </w:tcPr>
          <w:p>
            <w:pPr/>
            <w:r>
              <w:t xml:space="preserve">c</w:t>
            </w:r>
          </w:p>
        </w:tc>
        <w:tc>
          <w:tcPr>
            <w:tcW w:w="2891" w:type="dxa"/>
          </w:tcPr>
          <w:p>
            <w:pPr/>
            <w:r>
              <w:t xml:space="preserve">Financiero</w:t>
            </w:r>
          </w:p>
        </w:tc>
        <w:tc>
          <w:tcPr>
            <w:tcW w:w="4920" w:type="dxa"/>
          </w:tcPr>
          <w:p>
            <w:pPr/>
            <w:r>
              <w:t xml:space="preserve">Se aplica la fórmula pactada; el interventor no puede cambiarla.</w:t>
            </w:r>
          </w:p>
        </w:tc>
      </w:tr>
      <w:tr>
        <w:tc>
          <w:tcPr>
            <w:tcW w:w="720" w:type="dxa"/>
          </w:tcPr>
          <w:p>
            <w:pPr/>
            <w:r>
              <w:t xml:space="preserve">13</w:t>
            </w:r>
          </w:p>
        </w:tc>
        <w:tc>
          <w:tcPr>
            <w:tcW w:w="829" w:type="dxa"/>
          </w:tcPr>
          <w:p>
            <w:pPr/>
            <w:r>
              <w:t xml:space="preserve">a</w:t>
            </w:r>
          </w:p>
        </w:tc>
        <w:tc>
          <w:tcPr>
            <w:tcW w:w="2891" w:type="dxa"/>
          </w:tcPr>
          <w:p>
            <w:pPr/>
            <w:r>
              <w:t xml:space="preserve">Jurídico</w:t>
            </w:r>
          </w:p>
        </w:tc>
        <w:tc>
          <w:tcPr>
            <w:tcW w:w="4920" w:type="dxa"/>
          </w:tcPr>
          <w:p>
            <w:pPr/>
            <w:r>
              <w:t xml:space="preserve">Parágrafo del artículo 40 de la Ley 80: 4.000 + 1.500 = 5.500 &gt; 5.000 (50 %).</w:t>
            </w:r>
          </w:p>
        </w:tc>
      </w:tr>
      <w:tr>
        <w:tc>
          <w:tcPr>
            <w:tcW w:w="720" w:type="dxa"/>
          </w:tcPr>
          <w:p>
            <w:pPr/>
            <w:r>
              <w:t xml:space="preserve">14</w:t>
            </w:r>
          </w:p>
        </w:tc>
        <w:tc>
          <w:tcPr>
            <w:tcW w:w="829" w:type="dxa"/>
          </w:tcPr>
          <w:p>
            <w:pPr/>
            <w:r>
              <w:t xml:space="preserve">d</w:t>
            </w:r>
          </w:p>
        </w:tc>
        <w:tc>
          <w:tcPr>
            <w:tcW w:w="2891" w:type="dxa"/>
          </w:tcPr>
          <w:p>
            <w:pPr/>
            <w:r>
              <w:t xml:space="preserve">Jurídico y administrativo</w:t>
            </w:r>
          </w:p>
        </w:tc>
        <w:tc>
          <w:tcPr>
            <w:tcW w:w="4920" w:type="dxa"/>
          </w:tcPr>
          <w:p>
            <w:pPr/>
            <w:r>
              <w:t xml:space="preserve">Un contrato vencido no se prorroga; el seguimiento al cronograma debió alertar a tiempo.</w:t>
            </w:r>
          </w:p>
        </w:tc>
      </w:tr>
      <w:tr>
        <w:tc>
          <w:tcPr>
            <w:tcW w:w="720" w:type="dxa"/>
          </w:tcPr>
          <w:p>
            <w:pPr/>
            <w:r>
              <w:t xml:space="preserve">15</w:t>
            </w:r>
          </w:p>
        </w:tc>
        <w:tc>
          <w:tcPr>
            <w:tcW w:w="829" w:type="dxa"/>
          </w:tcPr>
          <w:p>
            <w:pPr/>
            <w:r>
              <w:t xml:space="preserve">b</w:t>
            </w:r>
          </w:p>
        </w:tc>
        <w:tc>
          <w:tcPr>
            <w:tcW w:w="2891" w:type="dxa"/>
          </w:tcPr>
          <w:p>
            <w:pPr/>
            <w:r>
              <w:t xml:space="preserve">Jurídico</w:t>
            </w:r>
          </w:p>
        </w:tc>
        <w:tc>
          <w:tcPr>
            <w:tcW w:w="4920" w:type="dxa"/>
          </w:tcPr>
          <w:p>
            <w:pPr/>
            <w:r>
              <w:t xml:space="preserve">Artículo 86 de la Ley 1474 y artículo 17 de la Ley 1150; el interventor informa y soporta.</w:t>
            </w:r>
          </w:p>
        </w:tc>
      </w:tr>
      <w:tr>
        <w:tc>
          <w:tcPr>
            <w:tcW w:w="720" w:type="dxa"/>
          </w:tcPr>
          <w:p>
            <w:pPr/>
            <w:r>
              <w:t xml:space="preserve">16</w:t>
            </w:r>
          </w:p>
        </w:tc>
        <w:tc>
          <w:tcPr>
            <w:tcW w:w="829" w:type="dxa"/>
          </w:tcPr>
          <w:p>
            <w:pPr/>
            <w:r>
              <w:t xml:space="preserve">c</w:t>
            </w:r>
          </w:p>
        </w:tc>
        <w:tc>
          <w:tcPr>
            <w:tcW w:w="2891" w:type="dxa"/>
          </w:tcPr>
          <w:p>
            <w:pPr/>
            <w:r>
              <w:t xml:space="preserve">Jurídico</w:t>
            </w:r>
          </w:p>
        </w:tc>
        <w:tc>
          <w:tcPr>
            <w:tcW w:w="4920" w:type="dxa"/>
          </w:tcPr>
          <w:p>
            <w:pPr/>
            <w:r>
              <w:t xml:space="preserve">Artículos 82 y 84 de la Ley 1474 de 2011.</w:t>
            </w:r>
          </w:p>
        </w:tc>
      </w:tr>
      <w:tr>
        <w:tc>
          <w:tcPr>
            <w:tcW w:w="720" w:type="dxa"/>
          </w:tcPr>
          <w:p>
            <w:pPr/>
            <w:r>
              <w:t xml:space="preserve">17</w:t>
            </w:r>
          </w:p>
        </w:tc>
        <w:tc>
          <w:tcPr>
            <w:tcW w:w="829" w:type="dxa"/>
          </w:tcPr>
          <w:p>
            <w:pPr/>
            <w:r>
              <w:t xml:space="preserve">a</w:t>
            </w:r>
          </w:p>
        </w:tc>
        <w:tc>
          <w:tcPr>
            <w:tcW w:w="2891" w:type="dxa"/>
          </w:tcPr>
          <w:p>
            <w:pPr/>
            <w:r>
              <w:t xml:space="preserve">Ambiental</w:t>
            </w:r>
          </w:p>
        </w:tc>
        <w:tc>
          <w:tcPr>
            <w:tcW w:w="4920" w:type="dxa"/>
          </w:tcPr>
          <w:p>
            <w:pPr/>
            <w:r>
              <w:t xml:space="preserve">Disposición de sobrantes solo en sitios autorizados (PAGA o PMA; Resolución 0472 de 2017, modificada por la Resolución 1257 de 2021, sobre RCD).</w:t>
            </w:r>
          </w:p>
        </w:tc>
      </w:tr>
      <w:tr>
        <w:tc>
          <w:tcPr>
            <w:tcW w:w="720" w:type="dxa"/>
          </w:tcPr>
          <w:p>
            <w:pPr/>
            <w:r>
              <w:t xml:space="preserve">18</w:t>
            </w:r>
          </w:p>
        </w:tc>
        <w:tc>
          <w:tcPr>
            <w:tcW w:w="829" w:type="dxa"/>
          </w:tcPr>
          <w:p>
            <w:pPr/>
            <w:r>
              <w:t xml:space="preserve">d</w:t>
            </w:r>
          </w:p>
        </w:tc>
        <w:tc>
          <w:tcPr>
            <w:tcW w:w="2891" w:type="dxa"/>
          </w:tcPr>
          <w:p>
            <w:pPr/>
            <w:r>
              <w:t xml:space="preserve">Ambiental</w:t>
            </w:r>
          </w:p>
        </w:tc>
        <w:tc>
          <w:tcPr>
            <w:tcW w:w="4920" w:type="dxa"/>
          </w:tcPr>
          <w:p>
            <w:pPr/>
            <w:r>
              <w:t xml:space="preserve">El aprovechamiento forestal requiere permiso previo de la autoridad ambiental.</w:t>
            </w:r>
          </w:p>
        </w:tc>
      </w:tr>
      <w:tr>
        <w:tc>
          <w:tcPr>
            <w:tcW w:w="720" w:type="dxa"/>
          </w:tcPr>
          <w:p>
            <w:pPr/>
            <w:r>
              <w:t xml:space="preserve">19</w:t>
            </w:r>
          </w:p>
        </w:tc>
        <w:tc>
          <w:tcPr>
            <w:tcW w:w="829" w:type="dxa"/>
          </w:tcPr>
          <w:p>
            <w:pPr/>
            <w:r>
              <w:t xml:space="preserve">c</w:t>
            </w:r>
          </w:p>
        </w:tc>
        <w:tc>
          <w:tcPr>
            <w:tcW w:w="2891" w:type="dxa"/>
          </w:tcPr>
          <w:p>
            <w:pPr/>
            <w:r>
              <w:t xml:space="preserve">Social y técnico</w:t>
            </w:r>
          </w:p>
        </w:tc>
        <w:tc>
          <w:tcPr>
            <w:tcW w:w="4920" w:type="dxa"/>
          </w:tcPr>
          <w:p>
            <w:pPr/>
            <w:r>
              <w:t xml:space="preserve">Las actas de vecindad previas permiten comparar el estado antes y después.</w:t>
            </w:r>
          </w:p>
        </w:tc>
      </w:tr>
      <w:tr>
        <w:tc>
          <w:tcPr>
            <w:tcW w:w="720" w:type="dxa"/>
          </w:tcPr>
          <w:p>
            <w:pPr/>
            <w:r>
              <w:t xml:space="preserve">20</w:t>
            </w:r>
          </w:p>
        </w:tc>
        <w:tc>
          <w:tcPr>
            <w:tcW w:w="829" w:type="dxa"/>
          </w:tcPr>
          <w:p>
            <w:pPr/>
            <w:r>
              <w:t xml:space="preserve">b</w:t>
            </w:r>
          </w:p>
        </w:tc>
        <w:tc>
          <w:tcPr>
            <w:tcW w:w="2891" w:type="dxa"/>
          </w:tcPr>
          <w:p>
            <w:pPr/>
            <w:r>
              <w:t xml:space="preserve">Ambiental y social</w:t>
            </w:r>
          </w:p>
        </w:tc>
        <w:tc>
          <w:tcPr>
            <w:tcW w:w="4920" w:type="dxa"/>
          </w:tcPr>
          <w:p>
            <w:pPr/>
            <w:r>
              <w:t xml:space="preserve">Ley 1185 de 2008 y Decreto 138 de 2019 (patrimonio arqueológico, ICANH).</w:t>
            </w:r>
          </w:p>
        </w:tc>
      </w:tr>
      <w:tr>
        <w:tc>
          <w:tcPr>
            <w:tcW w:w="720" w:type="dxa"/>
          </w:tcPr>
          <w:p>
            <w:pPr/>
            <w:r>
              <w:t xml:space="preserve">21</w:t>
            </w:r>
          </w:p>
        </w:tc>
        <w:tc>
          <w:tcPr>
            <w:tcW w:w="829" w:type="dxa"/>
          </w:tcPr>
          <w:p>
            <w:pPr/>
            <w:r>
              <w:t xml:space="preserve">d</w:t>
            </w:r>
          </w:p>
        </w:tc>
        <w:tc>
          <w:tcPr>
            <w:tcW w:w="2891" w:type="dxa"/>
          </w:tcPr>
          <w:p>
            <w:pPr/>
            <w:r>
              <w:t xml:space="preserve">Predial y jurídico</w:t>
            </w:r>
          </w:p>
        </w:tc>
        <w:tc>
          <w:tcPr>
            <w:tcW w:w="4920" w:type="dxa"/>
          </w:tcPr>
          <w:p>
            <w:pPr/>
            <w:r>
              <w:t xml:space="preserve">En APP la gestión predial y su riesgo están regulados en el contrato.</w:t>
            </w:r>
          </w:p>
        </w:tc>
      </w:tr>
      <w:tr>
        <w:tc>
          <w:tcPr>
            <w:tcW w:w="720" w:type="dxa"/>
          </w:tcPr>
          <w:p>
            <w:pPr/>
            <w:r>
              <w:t xml:space="preserve">22</w:t>
            </w:r>
          </w:p>
        </w:tc>
        <w:tc>
          <w:tcPr>
            <w:tcW w:w="829" w:type="dxa"/>
          </w:tcPr>
          <w:p>
            <w:pPr/>
            <w:r>
              <w:t xml:space="preserve">c</w:t>
            </w:r>
          </w:p>
        </w:tc>
        <w:tc>
          <w:tcPr>
            <w:tcW w:w="2891" w:type="dxa"/>
          </w:tcPr>
          <w:p>
            <w:pPr/>
            <w:r>
              <w:t xml:space="preserve">SST</w:t>
            </w:r>
          </w:p>
        </w:tc>
        <w:tc>
          <w:tcPr>
            <w:tcW w:w="4920" w:type="dxa"/>
          </w:tcPr>
          <w:p>
            <w:pPr/>
            <w:r>
              <w:t xml:space="preserve">Resolución 4272 de 2021 (vigente desde agosto de 2022; aplica a riesgo de caída mayor a 2 m) y Decreto 1072 de 2015. El interventor puede ordenar detener una actividad de riesgo inminente.</w:t>
            </w:r>
          </w:p>
        </w:tc>
      </w:tr>
      <w:tr>
        <w:tc>
          <w:tcPr>
            <w:tcW w:w="720" w:type="dxa"/>
          </w:tcPr>
          <w:p>
            <w:pPr/>
            <w:r>
              <w:t xml:space="preserve">23</w:t>
            </w:r>
          </w:p>
        </w:tc>
        <w:tc>
          <w:tcPr>
            <w:tcW w:w="829" w:type="dxa"/>
          </w:tcPr>
          <w:p>
            <w:pPr/>
            <w:r>
              <w:t xml:space="preserve">a</w:t>
            </w:r>
          </w:p>
        </w:tc>
        <w:tc>
          <w:tcPr>
            <w:tcW w:w="2891" w:type="dxa"/>
          </w:tcPr>
          <w:p>
            <w:pPr/>
            <w:r>
              <w:t xml:space="preserve">SST, social y jurídico</w:t>
            </w:r>
          </w:p>
        </w:tc>
        <w:tc>
          <w:tcPr>
            <w:tcW w:w="4920" w:type="dxa"/>
          </w:tcPr>
          <w:p>
            <w:pPr/>
            <w:r>
              <w:t xml:space="preserve">Sin PMT aprobado no se interviene la vía.</w:t>
            </w:r>
          </w:p>
        </w:tc>
      </w:tr>
      <w:tr>
        <w:tc>
          <w:tcPr>
            <w:tcW w:w="720" w:type="dxa"/>
          </w:tcPr>
          <w:p>
            <w:pPr/>
            <w:r>
              <w:t xml:space="preserve">24</w:t>
            </w:r>
          </w:p>
        </w:tc>
        <w:tc>
          <w:tcPr>
            <w:tcW w:w="829" w:type="dxa"/>
          </w:tcPr>
          <w:p>
            <w:pPr/>
            <w:r>
              <w:t xml:space="preserve">d</w:t>
            </w:r>
          </w:p>
        </w:tc>
        <w:tc>
          <w:tcPr>
            <w:tcW w:w="2891" w:type="dxa"/>
          </w:tcPr>
          <w:p>
            <w:pPr/>
            <w:r>
              <w:t xml:space="preserve">Técnico y financiero (APP)</w:t>
            </w:r>
          </w:p>
        </w:tc>
        <w:tc>
          <w:tcPr>
            <w:tcW w:w="4920" w:type="dxa"/>
          </w:tcPr>
          <w:p>
            <w:pPr/>
            <w:r>
              <w:t xml:space="preserve">Ley 1508 de 2012 y el régimen de deducciones del contrato.</w:t>
            </w:r>
          </w:p>
        </w:tc>
      </w:tr>
      <w:tr>
        <w:tc>
          <w:tcPr>
            <w:tcW w:w="720" w:type="dxa"/>
          </w:tcPr>
          <w:p>
            <w:pPr/>
            <w:r>
              <w:t xml:space="preserve">25</w:t>
            </w:r>
          </w:p>
        </w:tc>
        <w:tc>
          <w:tcPr>
            <w:tcW w:w="829" w:type="dxa"/>
          </w:tcPr>
          <w:p>
            <w:pPr/>
            <w:r>
              <w:t xml:space="preserve">b</w:t>
            </w:r>
          </w:p>
        </w:tc>
        <w:tc>
          <w:tcPr>
            <w:tcW w:w="2891" w:type="dxa"/>
          </w:tcPr>
          <w:p>
            <w:pPr/>
            <w:r>
              <w:t xml:space="preserve">Jurídico</w:t>
            </w:r>
          </w:p>
        </w:tc>
        <w:tc>
          <w:tcPr>
            <w:tcW w:w="4920" w:type="dxa"/>
          </w:tcPr>
          <w:p>
            <w:pPr/>
            <w:r>
              <w:t xml:space="preserve">Artículo 11 de la Ley 1150 de 2007.</w:t>
            </w:r>
          </w:p>
        </w:tc>
      </w:tr>
    </w:tbl>
    <w:p>
      <w:pPr>
        <w:pStyle w:val="Heading3"/>
      </w:pPr>
      <w:r>
        <w:t xml:space="preserve">Elementos esperados en la Parte II</w:t>
      </w:r>
    </w:p>
    <w:p>
      <w:pPr/>
      <w:r>
        <w:t xml:space="preserve">Cada respuesta vale 2 puntos: 2 si incluye la acción correcta, el soporte y el destinatario; 1 si la acción es correcta pero sin soporte; 0 si la acción es incorrecta o excede las facultades del interventor.</w:t>
      </w:r>
    </w:p>
    <w:p>
      <w:pPr/>
      <w:r>
        <w:rPr>
          <w:b/>
        </w:rPr>
        <w:t xml:space="preserve">Caso A. Vía secundaria</w:t>
      </w:r>
    </w:p>
    <w:p>
      <w:pPr>
        <w:pStyle w:val="ListParagraph"/>
        <w:numPr>
          <w:ilvl w:val="0"/>
          <w:numId w:val="46"/>
        </w:numPr>
      </w:pPr>
      <w:r>
        <w:t xml:space="preserve">Comparar el registro pluviométrico (IDEAM o pluviómetro de obra) con las anotaciones diarias de la bitácora y con lo previsible para la zona. Analizar la ruta crítica: ¿qué actividades se afectaron y cuánto? La fuente de materiales la ofreció el contratista, así que su legalidad es su riesgo. Exigir un plan de contingencia y, si el atraso es imputable, informar a la entidad para el procedimiento del artículo 86.</w:t>
      </w:r>
    </w:p>
    <w:p>
      <w:pPr>
        <w:pStyle w:val="ListParagraph"/>
        <w:numPr>
          <w:ilvl w:val="0"/>
          <w:numId w:val="46"/>
        </w:numPr>
      </w:pPr>
      <w:r>
        <w:t xml:space="preserve">Excluir del acta los 3.000 m³ hasta tener los ensayos que demuestren el cumplimiento. No se paga obra sin soporte de calidad. Si los ensayos fallan, se ordena la corrección a cargo del contratista.</w:t>
      </w:r>
    </w:p>
    <w:p>
      <w:pPr>
        <w:pStyle w:val="ListParagraph"/>
        <w:numPr>
          <w:ilvl w:val="0"/>
          <w:numId w:val="46"/>
        </w:numPr>
      </w:pPr>
      <w:r>
        <w:t xml:space="preserve">Estudio geotécnico y diseño del muro (por el diseñador o un consultor), cantidades y APU revisados por el interventor frente a precios de referencia, concepto técnico y de conveniencia, certificado de disponibilidad presupuestal, modificación contractual firmada (dentro del límite del 50 %), ampliación de garantías y solo entonces orden de ejecución. Si hay riesgo inminente, informar a la entidad para que evalúe una urgencia manifiesta; el interventor no la declara.</w:t>
      </w:r>
    </w:p>
    <w:p>
      <w:pPr>
        <w:pStyle w:val="ListParagraph"/>
        <w:numPr>
          <w:ilvl w:val="0"/>
          <w:numId w:val="46"/>
        </w:numPr>
      </w:pPr>
      <w:r>
        <w:t xml:space="preserve">Exigir título minero vigente, licencia ambiental o PMA de la fuente y la inscripción en el RUCOM del proveedor. Usar material de explotación ilícita es un delito (aprovechamiento ilícito de recursos naturales) y expone a la entidad, al contratista y al interventor. Se debe cambiar la fuente; el atraso y el mayor costo son del contratista.</w:t>
      </w:r>
    </w:p>
    <w:p>
      <w:pPr/>
      <w:r>
        <w:rPr>
          <w:b/>
        </w:rPr>
        <w:t xml:space="preserve">Caso B. Hospital</w:t>
      </w:r>
    </w:p>
    <w:p>
      <w:pPr>
        <w:pStyle w:val="ListParagraph"/>
        <w:numPr>
          <w:ilvl w:val="0"/>
          <w:numId w:val="47"/>
        </w:numPr>
      </w:pPr>
      <w:r>
        <w:t xml:space="preserve">Tramitar cada inconsistencia como consulta técnica formal al diseñador por medio de la entidad, con un registro y plazo de respuesta. Clasificar las que afectan la ruta crítica. La revisión de planos para construir es obligación del contratista según el pliego; solo se paga un ajuste de diseños si el contrato lo prevé o si se formaliza como modificación. Si los diseños entregados son deficientes, informar a la entidad para que evalúe la responsabilidad del consultor y su póliza de calidad.</w:t>
      </w:r>
    </w:p>
    <w:p>
      <w:pPr>
        <w:pStyle w:val="ListParagraph"/>
        <w:numPr>
          <w:ilvl w:val="0"/>
          <w:numId w:val="47"/>
        </w:numPr>
      </w:pPr>
      <w:r>
        <w:t xml:space="preserve">Pedir a la entidad que solicite la prórroga ante la curaduría o la oficina de planeación antes del vencimiento (artículo 2.2.6.1.2.4.1 del Decreto 1077 de 2015, modificado por el Decreto 1783 de 2021: a más tardar 30 días hábiles antes, con certificación de que la obra se inició). Construir con licencia vencida es una infracción urbanística.</w:t>
      </w:r>
    </w:p>
    <w:p>
      <w:pPr>
        <w:pStyle w:val="ListParagraph"/>
        <w:numPr>
          <w:ilvl w:val="0"/>
          <w:numId w:val="47"/>
        </w:numPr>
      </w:pPr>
      <w:r>
        <w:t xml:space="preserve">El supervisor técnico independiente (Ley 1796 de 2016 y título I de la NSR-10) verifica que la estructura se construya conforme a los planos y la norma sismorresistente. La interventoría controla todo el contrato: alcance, calidad, plazo, costo, garantías, SST y ambiente. Deben coordinarse con comités y compartir información; los conceptos estructurales del supervisor técnico son insumo del recibo.</w:t>
      </w:r>
    </w:p>
    <w:p>
      <w:pPr>
        <w:pStyle w:val="ListParagraph"/>
        <w:numPr>
          <w:ilvl w:val="0"/>
          <w:numId w:val="47"/>
        </w:numPr>
      </w:pPr>
      <w:r>
        <w:t xml:space="preserve">Certificación de conformidad RETIE y RETILAP, pruebas y certificación de las redes de gases medicinales, pruebas hidrosanitarias y de la red contra incendio (NSR-10, títulos J y K), certificado de la supervisión técnica y el certificado técnico de ocupación (Ley 1796), planos récord, manuales de operación y mantenimiento, garantías de equipos y lo necesario para la habilitación del servicio de salud.</w:t>
      </w:r>
    </w:p>
    <w:p>
      <w:pPr/>
      <w:r>
        <w:rPr>
          <w:b/>
        </w:rPr>
        <w:t xml:space="preserve">Caso C. Acueducto y alcantarillado</w:t>
      </w:r>
    </w:p>
    <w:p>
      <w:pPr>
        <w:pStyle w:val="ListParagraph"/>
        <w:numPr>
          <w:ilvl w:val="0"/>
          <w:numId w:val="48"/>
        </w:numPr>
      </w:pPr>
      <w:r>
        <w:t xml:space="preserve">Rechazar el lote no certificado y prohibir su instalación. Para la tubería ya instalada, exigir la certificación del lote (reglamento técnico de tuberías, Resolución 0501 de 2017) o ensayos en laboratorio acreditado. Si no se demuestra el cumplimiento, se retira y reemplaza a costo del contratista y no se paga. Investigar por qué se instaló sin verificación previa: es una falla del control de calidad de recibo de materiales.</w:t>
      </w:r>
    </w:p>
    <w:p>
      <w:pPr>
        <w:pStyle w:val="ListParagraph"/>
        <w:numPr>
          <w:ilvl w:val="0"/>
          <w:numId w:val="48"/>
        </w:numPr>
      </w:pPr>
      <w:r>
        <w:t xml:space="preserve">No se recibe ni se paga un tramo hasta superar la prueba hidrostática según la Resolución 0330 de 2017 (RAS) y las normas del operador. Pedir un análisis de causa (uniones, anclajes, tubería). La inspección CCTV, si está exigida, es requisito antes de tapar o de recibir. No se autoriza tapar sin ella.</w:t>
      </w:r>
    </w:p>
    <w:p>
      <w:pPr>
        <w:pStyle w:val="ListParagraph"/>
        <w:numPr>
          <w:ilvl w:val="0"/>
          <w:numId w:val="48"/>
        </w:numPr>
      </w:pPr>
      <w:r>
        <w:t xml:space="preserve">De inmediato: suspender la actividad, aislar y evacuar el área, avisar a la empresa de gas y a los organismos de emergencia, aplicar el PMT y el plan de emergencias. Después: informe del evento, registro en bitácora, revisión de la obligación de identificar interferencias (apiques, detección de redes, consulta a las empresas). El costo depende de la matriz de riesgos y de la diligencia del contratista; si la red no estaba registrada y el contratista hizo la verificación exigida, el riesgo puede no ser suyo.</w:t>
      </w:r>
    </w:p>
    <w:p>
      <w:pPr>
        <w:pStyle w:val="ListParagraph"/>
        <w:numPr>
          <w:ilvl w:val="0"/>
          <w:numId w:val="48"/>
        </w:numPr>
      </w:pPr>
      <w:r>
        <w:t xml:space="preserve">El operador es quien recibe y opera las redes. Si no conoce y acepta los materiales, pruebas y planos durante la obra, puede negarse a recibirlas y la inversión queda sin uso. Se recomienda que participe en los comités y en las pruebas.</w:t>
      </w:r>
    </w:p>
    <w:p>
      <w:pPr/>
      <w:r>
        <w:rPr>
          <w:b/>
        </w:rPr>
        <w:t xml:space="preserve">Caso D. Puente</w:t>
      </w:r>
    </w:p>
    <w:p>
      <w:pPr>
        <w:pStyle w:val="ListParagraph"/>
        <w:numPr>
          <w:ilvl w:val="0"/>
          <w:numId w:val="49"/>
        </w:numPr>
      </w:pPr>
      <w:r>
        <w:t xml:space="preserve">No autorizar dados ni pilas sobre los pilotes cuestionados. Exigir pruebas complementarias (crosshole sónico, extracción de núcleos o prueba de carga) y el concepto del diseñador geotécnico y estructural. Según el resultado: aceptar, reparar o construir pilotes adicionales. Si la falla es constructiva, el costo es del contratista.</w:t>
      </w:r>
    </w:p>
    <w:p>
      <w:pPr>
        <w:pStyle w:val="ListParagraph"/>
        <w:numPr>
          <w:ilvl w:val="0"/>
          <w:numId w:val="49"/>
        </w:numPr>
      </w:pPr>
      <w:r>
        <w:t xml:space="preserve">Verificar si el hecho era imprevisible y extraordinario, y si excede el riesgo asignado (10 %). Solo podría analizarse la parte que excede lo asumido. El contratista debe probar el impacto real: cantidades de acero pendientes de compra, fechas y facturas de compra, y su efecto en la ecuación del contrato, no solo la variación de un índice. El interventor emite un concepto técnico y financiero; la entidad decide (artículos 4, 5 y 27 de la Ley 80).</w:t>
      </w:r>
    </w:p>
    <w:p>
      <w:pPr>
        <w:pStyle w:val="ListParagraph"/>
        <w:numPr>
          <w:ilvl w:val="0"/>
          <w:numId w:val="49"/>
        </w:numPr>
      </w:pPr>
      <w:r>
        <w:t xml:space="preserve">En precio global se paga por hitos o porcentajes de avance pactados; las mayores cantidades son riesgo del contratista, salvo un cambio de alcance pedido por la entidad. El interventor no mide cantidades para pagar, pero sí verifica que cada hito esté completo y cumpla la calidad. En precios unitarios se paga cantidad medida por precio unitario.</w:t>
      </w:r>
    </w:p>
    <w:p>
      <w:pPr>
        <w:pStyle w:val="ListParagraph"/>
        <w:numPr>
          <w:ilvl w:val="0"/>
          <w:numId w:val="49"/>
        </w:numPr>
      </w:pPr>
      <w:r>
        <w:t xml:space="preserve">Prueba de carga estática y dinámica según la Norma Colombiana de Diseño de Puentes (CCP-14) y las especificaciones, registros de tensionamiento del preesfuerzo, ensayos de materiales, nivelación y topografía final, planos récord, manual de inspección y mantenimiento, y póliza de estabilidad.</w:t>
      </w:r>
    </w:p>
    <w:p>
      <w:pPr/>
      <w:r>
        <w:rPr>
          <w:b/>
        </w:rPr>
        <w:t xml:space="preserve">Caso E. Concesión APP</w:t>
      </w:r>
    </w:p>
    <w:p>
      <w:pPr>
        <w:pStyle w:val="ListParagraph"/>
        <w:numPr>
          <w:ilvl w:val="0"/>
          <w:numId w:val="50"/>
        </w:numPr>
      </w:pPr>
      <w:r>
        <w:t xml:space="preserve">Verificar que la Unidad Funcional cumpla todas las especificaciones del apéndice técnico, los indicadores exigidos para su terminación, las obligaciones ambientales y sociales asociadas y los requisitos documentales del contrato. Con 1,8 km de señalización faltante y una compensación pendiente, no recomienda suscribir el acta hasta que se cumplan, o recomienda solo lo que el contrato permita expresamente para pendientes menores.</w:t>
      </w:r>
    </w:p>
    <w:p>
      <w:pPr>
        <w:pStyle w:val="ListParagraph"/>
        <w:numPr>
          <w:ilvl w:val="0"/>
          <w:numId w:val="50"/>
        </w:numPr>
      </w:pPr>
      <w:r>
        <w:t xml:space="preserve">Informar a la entidad concedente con soportes; ella informa a la autoridad ambiental (ANLA) si corresponde. Exigir un cronograma de cumplimiento y evaluar los apremios o multas previstos en el contrato. El incumplimiento de la licencia puede dar lugar a sanciones ambientales (Ley 1333 de 2009, reformada por la Ley 2387 de 2024).</w:t>
      </w:r>
    </w:p>
    <w:p>
      <w:pPr>
        <w:pStyle w:val="ListParagraph"/>
        <w:numPr>
          <w:ilvl w:val="0"/>
          <w:numId w:val="50"/>
        </w:numPr>
      </w:pPr>
      <w:r>
        <w:t xml:space="preserve">Revisar la obligación de fondeo de la subcuenta, el valor estimado de predios y el mecanismo de compensación del riesgo predial (en contratos 4G, con franjas de exceso compartidas entre el concesionario y la entidad). Requerir el fondeo y alertar a la entidad si el déficit puede frenar la gestión predial o activar su parte del riesgo.</w:t>
      </w:r>
    </w:p>
    <w:p>
      <w:pPr>
        <w:pStyle w:val="ListParagraph"/>
        <w:numPr>
          <w:ilvl w:val="0"/>
          <w:numId w:val="50"/>
        </w:numPr>
      </w:pPr>
      <w:r>
        <w:t xml:space="preserve">En APP el control se centra en resultados: niveles de servicio, disponibilidad, especificaciones de las unidades funcionales, cierre financiero, patrimonio autónomo y sus subcuentas, distribución de riesgos y operación y mantenimiento por décadas. El interventor no aprueba cantidades a precio unitario, y la retribución depende de la disponibilidad y el desempeño (Ley 1508 de 2012).</w:t>
      </w:r>
    </w:p>
    <w:p>
      <w:pPr>
        <w:pStyle w:val="Heading3"/>
      </w:pPr>
      <w:r>
        <w:t xml:space="preserve">Clave de la Parte III</w:t>
      </w:r>
    </w:p>
    <w:tbl>
      <w:tblPr>
        <w:tblStyle w:val="TableGrid"/>
        <w:tblW w:w="0" w:type="auto"/>
        <w:tblLayout w:type="fixed"/>
        <w:tblLook w:val="04A0" w:firstRow="1" w:lastRow="0" w:firstColumn="0" w:lastColumn="0" w:noHBand="0" w:noVBand="1"/>
      </w:tblPr>
      <w:tblGrid>
        <w:gridCol w:w="1041"/>
        <w:gridCol w:w="1198"/>
        <w:gridCol w:w="7119"/>
      </w:tblGrid>
      <w:tr>
        <w:trPr>
          <w:tblHeader/>
        </w:trPr>
        <w:tc>
          <w:tcPr>
            <w:tcW w:w="1041" w:type="dxa"/>
            <w:shd w:val="clear" w:color="auto" w:fill="F2F2F2"/>
          </w:tcPr>
          <w:p>
            <w:pPr/>
            <w:r>
              <w:t xml:space="preserve">N.º</w:t>
            </w:r>
          </w:p>
        </w:tc>
        <w:tc>
          <w:tcPr>
            <w:tcW w:w="1198" w:type="dxa"/>
            <w:shd w:val="clear" w:color="auto" w:fill="F2F2F2"/>
          </w:tcPr>
          <w:p>
            <w:pPr/>
            <w:r>
              <w:t xml:space="preserve">V / F</w:t>
            </w:r>
          </w:p>
        </w:tc>
        <w:tc>
          <w:tcPr>
            <w:tcW w:w="7119" w:type="dxa"/>
            <w:shd w:val="clear" w:color="auto" w:fill="F2F2F2"/>
          </w:tcPr>
          <w:p>
            <w:pPr/>
            <w:r>
              <w:t xml:space="preserve">Justificación esperada</w:t>
            </w:r>
          </w:p>
        </w:tc>
      </w:tr>
      <w:tr>
        <w:tc>
          <w:tcPr>
            <w:tcW w:w="1041" w:type="dxa"/>
          </w:tcPr>
          <w:p>
            <w:pPr/>
            <w:r>
              <w:t xml:space="preserve">1</w:t>
            </w:r>
          </w:p>
        </w:tc>
        <w:tc>
          <w:tcPr>
            <w:tcW w:w="1198" w:type="dxa"/>
          </w:tcPr>
          <w:p>
            <w:pPr/>
            <w:r>
              <w:t xml:space="preserve">F</w:t>
            </w:r>
          </w:p>
        </w:tc>
        <w:tc>
          <w:tcPr>
            <w:tcW w:w="7119" w:type="dxa"/>
          </w:tcPr>
          <w:p>
            <w:pPr/>
            <w:r>
              <w:t xml:space="preserve">El interventor no puede modificar el contrato ni sus especificaciones; solo recomienda a la entidad.</w:t>
            </w:r>
          </w:p>
        </w:tc>
      </w:tr>
      <w:tr>
        <w:tc>
          <w:tcPr>
            <w:tcW w:w="1041" w:type="dxa"/>
          </w:tcPr>
          <w:p>
            <w:pPr/>
            <w:r>
              <w:t xml:space="preserve">2</w:t>
            </w:r>
          </w:p>
        </w:tc>
        <w:tc>
          <w:tcPr>
            <w:tcW w:w="1198" w:type="dxa"/>
          </w:tcPr>
          <w:p>
            <w:pPr/>
            <w:r>
              <w:t xml:space="preserve">V</w:t>
            </w:r>
          </w:p>
        </w:tc>
        <w:tc>
          <w:tcPr>
            <w:tcW w:w="7119" w:type="dxa"/>
          </w:tcPr>
          <w:p>
            <w:pPr/>
            <w:r>
              <w:t xml:space="preserve">Parágrafo 1 del numeral 1 del artículo 32 de la Ley 80 de 1993.</w:t>
            </w:r>
          </w:p>
        </w:tc>
      </w:tr>
      <w:tr>
        <w:tc>
          <w:tcPr>
            <w:tcW w:w="1041" w:type="dxa"/>
          </w:tcPr>
          <w:p>
            <w:pPr/>
            <w:r>
              <w:t xml:space="preserve">3</w:t>
            </w:r>
          </w:p>
        </w:tc>
        <w:tc>
          <w:tcPr>
            <w:tcW w:w="1198" w:type="dxa"/>
          </w:tcPr>
          <w:p>
            <w:pPr/>
            <w:r>
              <w:t xml:space="preserve">F</w:t>
            </w:r>
          </w:p>
        </w:tc>
        <w:tc>
          <w:tcPr>
            <w:tcW w:w="7119" w:type="dxa"/>
          </w:tcPr>
          <w:p>
            <w:pPr/>
            <w:r>
              <w:t xml:space="preserve">El contratista sigue respondiendo por estabilidad y calidad (amparo de estabilidad y artículo 2060 del Código Civil).</w:t>
            </w:r>
          </w:p>
        </w:tc>
      </w:tr>
      <w:tr>
        <w:tc>
          <w:tcPr>
            <w:tcW w:w="1041" w:type="dxa"/>
          </w:tcPr>
          <w:p>
            <w:pPr/>
            <w:r>
              <w:t xml:space="preserve">4</w:t>
            </w:r>
          </w:p>
        </w:tc>
        <w:tc>
          <w:tcPr>
            <w:tcW w:w="1198" w:type="dxa"/>
          </w:tcPr>
          <w:p>
            <w:pPr/>
            <w:r>
              <w:t xml:space="preserve">V</w:t>
            </w:r>
          </w:p>
        </w:tc>
        <w:tc>
          <w:tcPr>
            <w:tcW w:w="7119" w:type="dxa"/>
          </w:tcPr>
          <w:p>
            <w:pPr/>
            <w:r>
              <w:t xml:space="preserve">Artículo 2.2.1.2.3.1.14 del Decreto 1082 de 2015: no menor a 5 años; una vigencia menor exige justificación técnica de un experto y solo se define en la etapa precontractual.</w:t>
            </w:r>
          </w:p>
        </w:tc>
      </w:tr>
      <w:tr>
        <w:tc>
          <w:tcPr>
            <w:tcW w:w="1041" w:type="dxa"/>
          </w:tcPr>
          <w:p>
            <w:pPr/>
            <w:r>
              <w:t xml:space="preserve">5</w:t>
            </w:r>
          </w:p>
        </w:tc>
        <w:tc>
          <w:tcPr>
            <w:tcW w:w="1198" w:type="dxa"/>
          </w:tcPr>
          <w:p>
            <w:pPr/>
            <w:r>
              <w:t xml:space="preserve">F</w:t>
            </w:r>
          </w:p>
        </w:tc>
        <w:tc>
          <w:tcPr>
            <w:tcW w:w="7119" w:type="dxa"/>
          </w:tcPr>
          <w:p>
            <w:pPr/>
            <w:r>
              <w:t xml:space="preserve">Los hechos cumplidos están prohibidos; la urgencia manifiesta la declara la entidad por acto administrativo (artículo 42 de la Ley 80).</w:t>
            </w:r>
          </w:p>
        </w:tc>
      </w:tr>
      <w:tr>
        <w:tc>
          <w:tcPr>
            <w:tcW w:w="1041" w:type="dxa"/>
          </w:tcPr>
          <w:p>
            <w:pPr/>
            <w:r>
              <w:t xml:space="preserve">6</w:t>
            </w:r>
          </w:p>
        </w:tc>
        <w:tc>
          <w:tcPr>
            <w:tcW w:w="1198" w:type="dxa"/>
          </w:tcPr>
          <w:p>
            <w:pPr/>
            <w:r>
              <w:t xml:space="preserve">F</w:t>
            </w:r>
          </w:p>
        </w:tc>
        <w:tc>
          <w:tcPr>
            <w:tcW w:w="7119" w:type="dxa"/>
          </w:tcPr>
          <w:p>
            <w:pPr/>
            <w:r>
              <w:t xml:space="preserve">Los rendimientos del anticipo pertenecen a la entidad y deben reintegrarse.</w:t>
            </w:r>
          </w:p>
        </w:tc>
      </w:tr>
      <w:tr>
        <w:tc>
          <w:tcPr>
            <w:tcW w:w="1041" w:type="dxa"/>
          </w:tcPr>
          <w:p>
            <w:pPr/>
            <w:r>
              <w:t xml:space="preserve">7</w:t>
            </w:r>
          </w:p>
        </w:tc>
        <w:tc>
          <w:tcPr>
            <w:tcW w:w="1198" w:type="dxa"/>
          </w:tcPr>
          <w:p>
            <w:pPr/>
            <w:r>
              <w:t xml:space="preserve">V</w:t>
            </w:r>
          </w:p>
        </w:tc>
        <w:tc>
          <w:tcPr>
            <w:tcW w:w="7119" w:type="dxa"/>
          </w:tcPr>
          <w:p>
            <w:pPr/>
            <w:r>
              <w:t xml:space="preserve">Es una garantía obligatoria en obra y su vigencia es parte del control jurídico.</w:t>
            </w:r>
          </w:p>
        </w:tc>
      </w:tr>
      <w:tr>
        <w:tc>
          <w:tcPr>
            <w:tcW w:w="1041" w:type="dxa"/>
          </w:tcPr>
          <w:p>
            <w:pPr/>
            <w:r>
              <w:t xml:space="preserve">8</w:t>
            </w:r>
          </w:p>
        </w:tc>
        <w:tc>
          <w:tcPr>
            <w:tcW w:w="1198" w:type="dxa"/>
          </w:tcPr>
          <w:p>
            <w:pPr/>
            <w:r>
              <w:t xml:space="preserve">F</w:t>
            </w:r>
          </w:p>
        </w:tc>
        <w:tc>
          <w:tcPr>
            <w:tcW w:w="7119" w:type="dxa"/>
          </w:tcPr>
          <w:p>
            <w:pPr/>
            <w:r>
              <w:t xml:space="preserve">Las garantías deben ajustarse para cubrir el nuevo plazo total del contrato.</w:t>
            </w:r>
          </w:p>
        </w:tc>
      </w:tr>
      <w:tr>
        <w:tc>
          <w:tcPr>
            <w:tcW w:w="1041" w:type="dxa"/>
          </w:tcPr>
          <w:p>
            <w:pPr/>
            <w:r>
              <w:t xml:space="preserve">9</w:t>
            </w:r>
          </w:p>
        </w:tc>
        <w:tc>
          <w:tcPr>
            <w:tcW w:w="1198" w:type="dxa"/>
          </w:tcPr>
          <w:p>
            <w:pPr/>
            <w:r>
              <w:t xml:space="preserve">V</w:t>
            </w:r>
          </w:p>
        </w:tc>
        <w:tc>
          <w:tcPr>
            <w:tcW w:w="7119" w:type="dxa"/>
          </w:tcPr>
          <w:p>
            <w:pPr/>
            <w:r>
              <w:t xml:space="preserve">Artículo 84 de la Ley 1474 de 2011.</w:t>
            </w:r>
          </w:p>
        </w:tc>
      </w:tr>
      <w:tr>
        <w:tc>
          <w:tcPr>
            <w:tcW w:w="1041" w:type="dxa"/>
          </w:tcPr>
          <w:p>
            <w:pPr/>
            <w:r>
              <w:t xml:space="preserve">10</w:t>
            </w:r>
          </w:p>
        </w:tc>
        <w:tc>
          <w:tcPr>
            <w:tcW w:w="1198" w:type="dxa"/>
          </w:tcPr>
          <w:p>
            <w:pPr/>
            <w:r>
              <w:t xml:space="preserve">F</w:t>
            </w:r>
          </w:p>
        </w:tc>
        <w:tc>
          <w:tcPr>
            <w:tcW w:w="7119" w:type="dxa"/>
          </w:tcPr>
          <w:p>
            <w:pPr/>
            <w:r>
              <w:t xml:space="preserve">Deben cubrir los aspectos técnico, administrativo, financiero, contable, jurídico, ambiental, social y de SST.</w:t>
            </w:r>
          </w:p>
        </w:tc>
      </w:tr>
      <w:tr>
        <w:tc>
          <w:tcPr>
            <w:tcW w:w="1041" w:type="dxa"/>
          </w:tcPr>
          <w:p>
            <w:pPr/>
            <w:r>
              <w:t xml:space="preserve">11</w:t>
            </w:r>
          </w:p>
        </w:tc>
        <w:tc>
          <w:tcPr>
            <w:tcW w:w="1198" w:type="dxa"/>
          </w:tcPr>
          <w:p>
            <w:pPr/>
            <w:r>
              <w:t xml:space="preserve">F</w:t>
            </w:r>
          </w:p>
        </w:tc>
        <w:tc>
          <w:tcPr>
            <w:tcW w:w="7119" w:type="dxa"/>
          </w:tcPr>
          <w:p>
            <w:pPr/>
            <w:r>
              <w:t xml:space="preserve">Si omite verificar o informar, responde (artículos 82 y 84 de la Ley 1474).</w:t>
            </w:r>
          </w:p>
        </w:tc>
      </w:tr>
      <w:tr>
        <w:tc>
          <w:tcPr>
            <w:tcW w:w="1041" w:type="dxa"/>
          </w:tcPr>
          <w:p>
            <w:pPr/>
            <w:r>
              <w:t xml:space="preserve">12</w:t>
            </w:r>
          </w:p>
        </w:tc>
        <w:tc>
          <w:tcPr>
            <w:tcW w:w="1198" w:type="dxa"/>
          </w:tcPr>
          <w:p>
            <w:pPr/>
            <w:r>
              <w:t xml:space="preserve">V</w:t>
            </w:r>
          </w:p>
        </w:tc>
        <w:tc>
          <w:tcPr>
            <w:tcW w:w="7119" w:type="dxa"/>
          </w:tcPr>
          <w:p>
            <w:pPr/>
            <w:r>
              <w:t xml:space="preserve">Configura conflicto de intereses e inhabilidad (Ley 80 y Ley 1474).</w:t>
            </w:r>
          </w:p>
        </w:tc>
      </w:tr>
      <w:tr>
        <w:tc>
          <w:tcPr>
            <w:tcW w:w="1041" w:type="dxa"/>
          </w:tcPr>
          <w:p>
            <w:pPr/>
            <w:r>
              <w:t xml:space="preserve">13</w:t>
            </w:r>
          </w:p>
        </w:tc>
        <w:tc>
          <w:tcPr>
            <w:tcW w:w="1198" w:type="dxa"/>
          </w:tcPr>
          <w:p>
            <w:pPr/>
            <w:r>
              <w:t xml:space="preserve">F</w:t>
            </w:r>
          </w:p>
        </w:tc>
        <w:tc>
          <w:tcPr>
            <w:tcW w:w="7119" w:type="dxa"/>
          </w:tcPr>
          <w:p>
            <w:pPr/>
            <w:r>
              <w:t xml:space="preserve">Se levantan antes de iniciar la intervención, para comparar al final.</w:t>
            </w:r>
          </w:p>
        </w:tc>
      </w:tr>
      <w:tr>
        <w:tc>
          <w:tcPr>
            <w:tcW w:w="1041" w:type="dxa"/>
          </w:tcPr>
          <w:p>
            <w:pPr/>
            <w:r>
              <w:t xml:space="preserve">14</w:t>
            </w:r>
          </w:p>
        </w:tc>
        <w:tc>
          <w:tcPr>
            <w:tcW w:w="1198" w:type="dxa"/>
          </w:tcPr>
          <w:p>
            <w:pPr/>
            <w:r>
              <w:t xml:space="preserve">V</w:t>
            </w:r>
          </w:p>
        </w:tc>
        <w:tc>
          <w:tcPr>
            <w:tcW w:w="7119" w:type="dxa"/>
          </w:tcPr>
          <w:p>
            <w:pPr/>
            <w:r>
              <w:t xml:space="preserve">Artículo 5 de la Ley 1508 de 2012.</w:t>
            </w:r>
          </w:p>
        </w:tc>
      </w:tr>
      <w:tr>
        <w:tc>
          <w:tcPr>
            <w:tcW w:w="1041" w:type="dxa"/>
          </w:tcPr>
          <w:p>
            <w:pPr/>
            <w:r>
              <w:t xml:space="preserve">15</w:t>
            </w:r>
          </w:p>
        </w:tc>
        <w:tc>
          <w:tcPr>
            <w:tcW w:w="1198" w:type="dxa"/>
          </w:tcPr>
          <w:p>
            <w:pPr/>
            <w:r>
              <w:t xml:space="preserve">F</w:t>
            </w:r>
          </w:p>
        </w:tc>
        <w:tc>
          <w:tcPr>
            <w:tcW w:w="7119" w:type="dxa"/>
          </w:tcPr>
          <w:p>
            <w:pPr/>
            <w:r>
              <w:t xml:space="preserve">Es una conducta prohibida; puede ser delito (cohecho) y causa de responsabilidad disciplinaria.</w:t>
            </w:r>
          </w:p>
        </w:tc>
      </w:tr>
    </w:tbl>
    <w:p>
      <w:pPr>
        <w:pStyle w:val="Heading3"/>
      </w:pPr>
      <w:r>
        <w:t xml:space="preserve">Elementos esperados en la Parte IV</w:t>
      </w:r>
    </w:p>
    <w:p>
      <w:pPr/>
      <w:r>
        <w:t xml:space="preserve">Cada pregunta vale 4 puntos.</w:t>
      </w:r>
    </w:p>
    <w:p>
      <w:pPr>
        <w:pStyle w:val="ListParagraph"/>
        <w:numPr>
          <w:ilvl w:val="0"/>
          <w:numId w:val="51"/>
        </w:numPr>
      </w:pPr>
      <w:r>
        <w:rPr>
          <w:b/>
        </w:rPr>
        <w:t xml:space="preserve">Matriz (4 puntos: 1 por cada par de hechos bien tratados, más 1 por citar soportes).</w:t>
      </w:r>
    </w:p>
    <w:tbl>
      <w:tblPr>
        <w:tblStyle w:val="TableGrid"/>
        <w:tblW w:w="0" w:type="auto"/>
        <w:tblLayout w:type="fixed"/>
        <w:tblLook w:val="04A0" w:firstRow="1" w:lastRow="0" w:firstColumn="0" w:lastColumn="0" w:noHBand="0" w:noVBand="1"/>
      </w:tblPr>
      <w:tblGrid>
        <w:gridCol w:w="720"/>
        <w:gridCol w:w="1827"/>
        <w:gridCol w:w="4221"/>
        <w:gridCol w:w="2592"/>
      </w:tblGrid>
      <w:tr>
        <w:trPr>
          <w:tblHeader/>
        </w:trPr>
        <w:tc>
          <w:tcPr>
            <w:tcW w:w="720" w:type="dxa"/>
            <w:shd w:val="clear" w:color="auto" w:fill="F2F2F2"/>
          </w:tcPr>
          <w:p>
            <w:pPr/>
            <w:r>
              <w:t xml:space="preserve">Mes</w:t>
            </w:r>
          </w:p>
        </w:tc>
        <w:tc>
          <w:tcPr>
            <w:tcW w:w="1827" w:type="dxa"/>
            <w:shd w:val="clear" w:color="auto" w:fill="F2F2F2"/>
          </w:tcPr>
          <w:p>
            <w:pPr/>
            <w:r>
              <w:t xml:space="preserve">Controles</w:t>
            </w:r>
          </w:p>
        </w:tc>
        <w:tc>
          <w:tcPr>
            <w:tcW w:w="4221" w:type="dxa"/>
            <w:shd w:val="clear" w:color="auto" w:fill="F2F2F2"/>
          </w:tcPr>
          <w:p>
            <w:pPr/>
            <w:r>
              <w:t xml:space="preserve">Acción de la interventoría</w:t>
            </w:r>
          </w:p>
        </w:tc>
        <w:tc>
          <w:tcPr>
            <w:tcW w:w="2592" w:type="dxa"/>
            <w:shd w:val="clear" w:color="auto" w:fill="F2F2F2"/>
          </w:tcPr>
          <w:p>
            <w:pPr/>
            <w:r>
              <w:t xml:space="preserve">Soporte</w:t>
            </w:r>
          </w:p>
        </w:tc>
      </w:tr>
      <w:tr>
        <w:tc>
          <w:tcPr>
            <w:tcW w:w="720" w:type="dxa"/>
          </w:tcPr>
          <w:p>
            <w:pPr/>
            <w:r>
              <w:t xml:space="preserve">3</w:t>
            </w:r>
          </w:p>
        </w:tc>
        <w:tc>
          <w:tcPr>
            <w:tcW w:w="1827" w:type="dxa"/>
          </w:tcPr>
          <w:p>
            <w:pPr/>
            <w:r>
              <w:t xml:space="preserve">Técnico, administrativo, social</w:t>
            </w:r>
          </w:p>
        </w:tc>
        <w:tc>
          <w:tcPr>
            <w:tcW w:w="4221" w:type="dxa"/>
          </w:tcPr>
          <w:p>
            <w:pPr/>
            <w:r>
              <w:t xml:space="preserve">Requerir a las empresas de servicios, gestionar con la entidad la aprobación de diseños de traslado, reprogramar frentes, documentar si el atraso es imputable.</w:t>
            </w:r>
          </w:p>
        </w:tc>
        <w:tc>
          <w:tcPr>
            <w:tcW w:w="2592" w:type="dxa"/>
          </w:tcPr>
          <w:p>
            <w:pPr/>
            <w:r>
              <w:t xml:space="preserve">Actas de comité con las empresas, comunicaciones, cronograma ajustado.</w:t>
            </w:r>
          </w:p>
        </w:tc>
      </w:tr>
      <w:tr>
        <w:tc>
          <w:tcPr>
            <w:tcW w:w="720" w:type="dxa"/>
          </w:tcPr>
          <w:p>
            <w:pPr/>
            <w:r>
              <w:t xml:space="preserve">7</w:t>
            </w:r>
          </w:p>
        </w:tc>
        <w:tc>
          <w:tcPr>
            <w:tcW w:w="1827" w:type="dxa"/>
          </w:tcPr>
          <w:p>
            <w:pPr/>
            <w:r>
              <w:t xml:space="preserve">SST, jurídico</w:t>
            </w:r>
          </w:p>
        </w:tc>
        <w:tc>
          <w:tcPr>
            <w:tcW w:w="4221" w:type="dxa"/>
          </w:tcPr>
          <w:p>
            <w:pPr/>
            <w:r>
              <w:t xml:space="preserve">Ver pregunta 2.</w:t>
            </w:r>
          </w:p>
        </w:tc>
        <w:tc>
          <w:tcPr>
            <w:tcW w:w="2592" w:type="dxa"/>
          </w:tcPr>
          <w:p>
            <w:pPr/>
            <w:r>
              <w:t xml:space="preserve">Reporte del accidente, investigación, bitácora.</w:t>
            </w:r>
          </w:p>
        </w:tc>
      </w:tr>
      <w:tr>
        <w:tc>
          <w:tcPr>
            <w:tcW w:w="720" w:type="dxa"/>
          </w:tcPr>
          <w:p>
            <w:pPr/>
            <w:r>
              <w:t xml:space="preserve">10</w:t>
            </w:r>
          </w:p>
        </w:tc>
        <w:tc>
          <w:tcPr>
            <w:tcW w:w="1827" w:type="dxa"/>
          </w:tcPr>
          <w:p>
            <w:pPr/>
            <w:r>
              <w:t xml:space="preserve">Técnico, jurídico</w:t>
            </w:r>
          </w:p>
        </w:tc>
        <w:tc>
          <w:tcPr>
            <w:tcW w:w="4221" w:type="dxa"/>
          </w:tcPr>
          <w:p>
            <w:pPr/>
            <w:r>
              <w:t xml:space="preserve">Rechazar el plan insuficiente, exigir uno nuevo con recursos y frentes adicionales, informar a la entidad el posible incumplimiento (artículo 86).</w:t>
            </w:r>
          </w:p>
        </w:tc>
        <w:tc>
          <w:tcPr>
            <w:tcW w:w="2592" w:type="dxa"/>
          </w:tcPr>
          <w:p>
            <w:pPr/>
            <w:r>
              <w:t xml:space="preserve">Informe de incumplimiento, curva S, análisis de ruta crítica.</w:t>
            </w:r>
          </w:p>
        </w:tc>
      </w:tr>
      <w:tr>
        <w:tc>
          <w:tcPr>
            <w:tcW w:w="720" w:type="dxa"/>
          </w:tcPr>
          <w:p>
            <w:pPr/>
            <w:r>
              <w:t xml:space="preserve">12</w:t>
            </w:r>
          </w:p>
        </w:tc>
        <w:tc>
          <w:tcPr>
            <w:tcW w:w="1827" w:type="dxa"/>
          </w:tcPr>
          <w:p>
            <w:pPr/>
            <w:r>
              <w:t xml:space="preserve">Técnico, financiero</w:t>
            </w:r>
          </w:p>
        </w:tc>
        <w:tc>
          <w:tcPr>
            <w:tcW w:w="4221" w:type="dxa"/>
          </w:tcPr>
          <w:p>
            <w:pPr/>
            <w:r>
              <w:t xml:space="preserve">El APU debió contrastarse con los precios de referencia y cotizaciones del mercado; un sobreprecio del 38 % sin justificación no debió avalarse.</w:t>
            </w:r>
          </w:p>
        </w:tc>
        <w:tc>
          <w:tcPr>
            <w:tcW w:w="2592" w:type="dxa"/>
          </w:tcPr>
          <w:p>
            <w:pPr/>
            <w:r>
              <w:t xml:space="preserve">Estudio de precios, cotizaciones, concepto técnico.</w:t>
            </w:r>
          </w:p>
        </w:tc>
      </w:tr>
      <w:tr>
        <w:tc>
          <w:tcPr>
            <w:tcW w:w="720" w:type="dxa"/>
          </w:tcPr>
          <w:p>
            <w:pPr/>
            <w:r>
              <w:t xml:space="preserve">14</w:t>
            </w:r>
          </w:p>
        </w:tc>
        <w:tc>
          <w:tcPr>
            <w:tcW w:w="1827" w:type="dxa"/>
          </w:tcPr>
          <w:p>
            <w:pPr/>
            <w:r>
              <w:t xml:space="preserve">Jurídico, financiero, laboral</w:t>
            </w:r>
          </w:p>
        </w:tc>
        <w:tc>
          <w:tcPr>
            <w:tcW w:w="4221" w:type="dxa"/>
          </w:tcPr>
          <w:p>
            <w:pPr/>
            <w:r>
              <w:t xml:space="preserve">Ver pregunta 3; verificar además los pagos laborales del personal y alertar a la aseguradora.</w:t>
            </w:r>
          </w:p>
        </w:tc>
        <w:tc>
          <w:tcPr>
            <w:tcW w:w="2592" w:type="dxa"/>
          </w:tcPr>
          <w:p>
            <w:pPr/>
            <w:r>
              <w:t xml:space="preserve">Certificado de la Superintendencia de Sociedades, estado de la fiducia.</w:t>
            </w:r>
          </w:p>
        </w:tc>
      </w:tr>
      <w:tr>
        <w:tc>
          <w:tcPr>
            <w:tcW w:w="720" w:type="dxa"/>
          </w:tcPr>
          <w:p>
            <w:pPr/>
            <w:r>
              <w:t xml:space="preserve">16</w:t>
            </w:r>
          </w:p>
        </w:tc>
        <w:tc>
          <w:tcPr>
            <w:tcW w:w="1827" w:type="dxa"/>
          </w:tcPr>
          <w:p>
            <w:pPr/>
            <w:r>
              <w:t xml:space="preserve">Jurídico, financiero</w:t>
            </w:r>
          </w:p>
        </w:tc>
        <w:tc>
          <w:tcPr>
            <w:tcW w:w="4221" w:type="dxa"/>
          </w:tcPr>
          <w:p>
            <w:pPr/>
            <w:r>
              <w:t xml:space="preserve">Ver pregunta 4.</w:t>
            </w:r>
          </w:p>
        </w:tc>
        <w:tc>
          <w:tcPr>
            <w:tcW w:w="2592" w:type="dxa"/>
          </w:tcPr>
          <w:p>
            <w:pPr/>
            <w:r>
              <w:t xml:space="preserve">Respuesta a la Contraloría con soportes.</w:t>
            </w:r>
          </w:p>
        </w:tc>
      </w:tr>
    </w:tbl>
    <w:p>
      <w:pPr>
        <w:pStyle w:val="ListParagraph"/>
        <w:numPr>
          <w:ilvl w:val="0"/>
          <w:numId w:val="51"/>
        </w:numPr>
      </w:pPr>
      <w:r>
        <w:rPr>
          <w:b/>
        </w:rPr>
        <w:t xml:space="preserve">Accidente (4 puntos).</w:t>
      </w:r>
      <w:r>
        <w:t xml:space="preserve"> De inmediato: detener la actividad, atención de la emergencia, asegurar el sitio, verificar que el empleador reporte a la ARL y a la EPS dentro de los 2 días hábiles siguientes (artículo 62 del Decreto 1295 de 1994, con el formato de la Resolución 156 de 2005) e informar a la entidad. Después: exigir la investigación del accidente dentro de los 15 días (Resolución 1401 de 2007), que en caso mortal se remite a la ARL y al Ministerio del Trabajo; revisar las medidas correctivas, los procedimientos de excavación y el entibado según el estudio geotécnico antes de reanudar. Falló la verificación del procedimiento de trabajo seguro en excavaciones y de las inspecciones diarias. Consecuencias: sanciones del Ministerio del Trabajo al empleador, responsabilidad civil y penal, y posible responsabilidad de la interventoría si no exigió las medidas.</w:t>
      </w:r>
    </w:p>
    <w:p>
      <w:pPr>
        <w:pStyle w:val="ListParagraph"/>
        <w:numPr>
          <w:ilvl w:val="0"/>
          <w:numId w:val="51"/>
        </w:numPr>
      </w:pPr>
      <w:r>
        <w:rPr>
          <w:b/>
        </w:rPr>
        <w:t xml:space="preserve">Reorganización (4 puntos).</w:t>
      </w:r>
      <w:r>
        <w:t xml:space="preserve"> La admisión a reorganización no es por sí sola causa de terminación; el artículo 16 de la Ley 1116 de 2006 hace ineficaces las cláusulas que lo prevean, y el artículo 21 impide terminar unilateralmente el contrato o declarar la caducidad por ese solo hecho, salvo que el trámite de caducidad haya empezado antes. El contrato sigue y la entidad puede actuar por incumplimientos reales. El anticipo no amortizado ($7.600 millones) es recurso público en la fiducia y no hace parte de la masa del deudor. Se debe verificar su saldo e inversión y avisar a la aseguradora del riesgo sobre los amparos de anticipo, cumplimiento y salarios. Recomendaciones: requerir un plan de cumplimiento, evaluar la cesión del contrato con autorización de la entidad, o iniciar el procedimiento de incumplimiento si el atraso continúa. Los pagos a subcontratistas son obligación del contratista; la entidad no les paga directamente, pero el incumplimiento laboral sí afecta el amparo de salarios.</w:t>
      </w:r>
    </w:p>
    <w:p>
      <w:pPr>
        <w:pStyle w:val="ListParagraph"/>
        <w:numPr>
          <w:ilvl w:val="0"/>
          <w:numId w:val="51"/>
        </w:numPr>
      </w:pPr>
      <w:r>
        <w:rPr>
          <w:b/>
        </w:rPr>
        <w:t xml:space="preserve">Hallazgo fiscal (4 puntos).</w:t>
      </w:r>
      <w:r>
        <w:t xml:space="preserve"> Responder con los soportes del análisis del APU: estudio de mercado, cotizaciones, justificación técnica del material especial y comparación con precios de referencia. Si no existen o el sobreprecio no se justifica, recomendar a la entidad revisar el precio y recuperar lo pagado de más en las actas siguientes o en la liquidación. El interventor es sujeto de responsabilidad fiscal (Ley 610 de 2000 y artículo 82 de la Ley 1474). El artículo 118 de la Ley 1474 presume culpa grave cuando se omiten las obligaciones de interventoría. También puede haber responsabilidad disciplinaria y penal.</w:t>
      </w:r>
    </w:p>
    <w:p>
      <w:pPr>
        <w:pStyle w:val="ListParagraph"/>
        <w:numPr>
          <w:ilvl w:val="0"/>
          <w:numId w:val="51"/>
        </w:numPr>
      </w:pPr>
      <w:r>
        <w:rPr>
          <w:b/>
        </w:rPr>
        <w:t xml:space="preserve">Informe extraordinario (4 puntos).</w:t>
      </w:r>
      <w:r>
        <w:t xml:space="preserve"> Debe incluir: (a) resumen y alertas; (b) estado técnico y de avance frente al programa, con ruta crítica; (c) estado financiero: valor ejecutado, anticipo y su amortización, saldo en fiducia, reajustes; (d) estado jurídico: garantías, reorganización, procesos de incumplimiento, hallazgo de la Contraloría; (e) SST, ambiental y social, incluido el accidente y las medidas tomadas; (f) riesgos y escenarios: continuidad, cesión o caducidad, con impactos en plazo y costo; (g) recomendaciones concretas con responsables y fechas; (h) anexos de soporte.</w:t>
      </w:r>
    </w:p>
    <w:p>
      <w:pPr>
        <w:pStyle w:val="Heading3"/>
      </w:pPr>
      <w:r>
        <w:t xml:space="preserve">Clave del caso integrador 2. Colegio</w:t>
      </w:r>
    </w:p>
    <w:p>
      <w:pPr/>
      <w:r>
        <w:t xml:space="preserve">Al corte del mes 5 la obra va en 42,50 % contra 52,50 % programado: la desviación de 10 puntos y el SPI de 0,81 obligan a exigir plan de contingencia.</w:t>
      </w:r>
    </w:p>
    <w:p>
      <w:pPr/>
      <w:r>
        <w:rPr>
          <w:b/>
        </w:rPr>
        <w:t xml:space="preserve">1. Programa de inversiones ($ millones)</w:t>
      </w:r>
    </w:p>
    <w:tbl>
      <w:tblPr>
        <w:tblStyle w:val="TableGrid"/>
        <w:tblW w:w="0" w:type="auto"/>
        <w:tblLayout w:type="fixed"/>
        <w:tblLook w:val="04A0" w:firstRow="1" w:lastRow="0" w:firstColumn="0" w:lastColumn="0" w:noHBand="0" w:noVBand="1"/>
      </w:tblPr>
      <w:tblGrid>
        <w:gridCol w:w="2984"/>
        <w:gridCol w:w="720"/>
        <w:gridCol w:w="791"/>
        <w:gridCol w:w="791"/>
        <w:gridCol w:w="791"/>
        <w:gridCol w:w="791"/>
        <w:gridCol w:w="791"/>
        <w:gridCol w:w="791"/>
        <w:gridCol w:w="910"/>
      </w:tblGrid>
      <w:tr>
        <w:trPr>
          <w:tblHeader/>
        </w:trPr>
        <w:tc>
          <w:tcPr>
            <w:tcW w:w="2984" w:type="dxa"/>
            <w:shd w:val="clear" w:color="auto" w:fill="F2F2F2"/>
          </w:tcPr>
          <w:p>
            <w:pPr/>
            <w:r>
              <w:t xml:space="preserve">Actividad</w:t>
            </w:r>
          </w:p>
        </w:tc>
        <w:tc>
          <w:tcPr>
            <w:tcW w:w="720" w:type="dxa"/>
            <w:shd w:val="clear" w:color="auto" w:fill="F2F2F2"/>
          </w:tcPr>
          <w:p>
            <w:pPr/>
            <w:r>
              <w:t xml:space="preserve">M1</w:t>
            </w:r>
          </w:p>
        </w:tc>
        <w:tc>
          <w:tcPr>
            <w:tcW w:w="791" w:type="dxa"/>
            <w:shd w:val="clear" w:color="auto" w:fill="F2F2F2"/>
          </w:tcPr>
          <w:p>
            <w:pPr/>
            <w:r>
              <w:t xml:space="preserve">M2</w:t>
            </w:r>
          </w:p>
        </w:tc>
        <w:tc>
          <w:tcPr>
            <w:tcW w:w="791" w:type="dxa"/>
            <w:shd w:val="clear" w:color="auto" w:fill="F2F2F2"/>
          </w:tcPr>
          <w:p>
            <w:pPr/>
            <w:r>
              <w:t xml:space="preserve">M3</w:t>
            </w:r>
          </w:p>
        </w:tc>
        <w:tc>
          <w:tcPr>
            <w:tcW w:w="791" w:type="dxa"/>
            <w:shd w:val="clear" w:color="auto" w:fill="F2F2F2"/>
          </w:tcPr>
          <w:p>
            <w:pPr/>
            <w:r>
              <w:t xml:space="preserve">M4</w:t>
            </w:r>
          </w:p>
        </w:tc>
        <w:tc>
          <w:tcPr>
            <w:tcW w:w="791" w:type="dxa"/>
            <w:shd w:val="clear" w:color="auto" w:fill="F2F2F2"/>
          </w:tcPr>
          <w:p>
            <w:pPr/>
            <w:r>
              <w:t xml:space="preserve">M5</w:t>
            </w:r>
          </w:p>
        </w:tc>
        <w:tc>
          <w:tcPr>
            <w:tcW w:w="791" w:type="dxa"/>
            <w:shd w:val="clear" w:color="auto" w:fill="F2F2F2"/>
          </w:tcPr>
          <w:p>
            <w:pPr/>
            <w:r>
              <w:t xml:space="preserve">M6</w:t>
            </w:r>
          </w:p>
        </w:tc>
        <w:tc>
          <w:tcPr>
            <w:tcW w:w="791" w:type="dxa"/>
            <w:shd w:val="clear" w:color="auto" w:fill="F2F2F2"/>
          </w:tcPr>
          <w:p>
            <w:pPr/>
            <w:r>
              <w:t xml:space="preserve">M7</w:t>
            </w:r>
          </w:p>
        </w:tc>
        <w:tc>
          <w:tcPr>
            <w:tcW w:w="910" w:type="dxa"/>
            <w:shd w:val="clear" w:color="auto" w:fill="F2F2F2"/>
          </w:tcPr>
          <w:p>
            <w:pPr/>
            <w:r>
              <w:t xml:space="preserve">M8</w:t>
            </w:r>
          </w:p>
        </w:tc>
      </w:tr>
      <w:tr>
        <w:tc>
          <w:tcPr>
            <w:tcW w:w="2984" w:type="dxa"/>
          </w:tcPr>
          <w:p>
            <w:pPr/>
            <w:r>
              <w:t xml:space="preserve">1. Preliminares</w:t>
            </w:r>
          </w:p>
        </w:tc>
        <w:tc>
          <w:tcPr>
            <w:tcW w:w="720" w:type="dxa"/>
          </w:tcPr>
          <w:p>
            <w:pPr/>
            <w:r>
              <w:t xml:space="preserve">200</w:t>
            </w:r>
          </w:p>
        </w:tc>
        <w:tc>
          <w:tcPr>
            <w:tcW w:w="791" w:type="dxa"/>
          </w:tcPr>
          <w:p>
            <w:pPr/>
            <w:r>
              <w:t xml:space="preserve">200</w:t>
            </w:r>
          </w:p>
        </w:tc>
        <w:tc>
          <w:tcPr>
            <w:tcW w:w="791" w:type="dxa"/>
          </w:tcPr>
          <w:p>
            <w:pPr/>
          </w:p>
        </w:tc>
        <w:tc>
          <w:tcPr>
            <w:tcW w:w="791" w:type="dxa"/>
          </w:tcPr>
          <w:p>
            <w:pPr/>
          </w:p>
        </w:tc>
        <w:tc>
          <w:tcPr>
            <w:tcW w:w="791" w:type="dxa"/>
          </w:tcPr>
          <w:p>
            <w:pPr/>
          </w:p>
        </w:tc>
        <w:tc>
          <w:tcPr>
            <w:tcW w:w="791" w:type="dxa"/>
          </w:tcPr>
          <w:p>
            <w:pPr/>
          </w:p>
        </w:tc>
        <w:tc>
          <w:tcPr>
            <w:tcW w:w="791" w:type="dxa"/>
          </w:tcPr>
          <w:p>
            <w:pPr/>
          </w:p>
        </w:tc>
        <w:tc>
          <w:tcPr>
            <w:tcW w:w="910" w:type="dxa"/>
          </w:tcPr>
          <w:p>
            <w:pPr/>
          </w:p>
        </w:tc>
      </w:tr>
      <w:tr>
        <w:tc>
          <w:tcPr>
            <w:tcW w:w="2984" w:type="dxa"/>
          </w:tcPr>
          <w:p>
            <w:pPr/>
            <w:r>
              <w:t xml:space="preserve">2. Cimentación</w:t>
            </w:r>
          </w:p>
        </w:tc>
        <w:tc>
          <w:tcPr>
            <w:tcW w:w="720" w:type="dxa"/>
          </w:tcPr>
          <w:p>
            <w:pPr/>
          </w:p>
        </w:tc>
        <w:tc>
          <w:tcPr>
            <w:tcW w:w="791" w:type="dxa"/>
          </w:tcPr>
          <w:p>
            <w:pPr/>
            <w:r>
              <w:t xml:space="preserve">600</w:t>
            </w:r>
          </w:p>
        </w:tc>
        <w:tc>
          <w:tcPr>
            <w:tcW w:w="791" w:type="dxa"/>
          </w:tcPr>
          <w:p>
            <w:pPr/>
            <w:r>
              <w:t xml:space="preserve">600</w:t>
            </w:r>
          </w:p>
        </w:tc>
        <w:tc>
          <w:tcPr>
            <w:tcW w:w="791" w:type="dxa"/>
          </w:tcPr>
          <w:p>
            <w:pPr/>
          </w:p>
        </w:tc>
        <w:tc>
          <w:tcPr>
            <w:tcW w:w="791" w:type="dxa"/>
          </w:tcPr>
          <w:p>
            <w:pPr/>
          </w:p>
        </w:tc>
        <w:tc>
          <w:tcPr>
            <w:tcW w:w="791" w:type="dxa"/>
          </w:tcPr>
          <w:p>
            <w:pPr/>
          </w:p>
        </w:tc>
        <w:tc>
          <w:tcPr>
            <w:tcW w:w="791" w:type="dxa"/>
          </w:tcPr>
          <w:p>
            <w:pPr/>
          </w:p>
        </w:tc>
        <w:tc>
          <w:tcPr>
            <w:tcW w:w="910" w:type="dxa"/>
          </w:tcPr>
          <w:p>
            <w:pPr/>
          </w:p>
        </w:tc>
      </w:tr>
      <w:tr>
        <w:tc>
          <w:tcPr>
            <w:tcW w:w="2984" w:type="dxa"/>
          </w:tcPr>
          <w:p>
            <w:pPr/>
            <w:r>
              <w:t xml:space="preserve">3. Estructura</w:t>
            </w:r>
          </w:p>
        </w:tc>
        <w:tc>
          <w:tcPr>
            <w:tcW w:w="720" w:type="dxa"/>
          </w:tcPr>
          <w:p>
            <w:pPr/>
          </w:p>
        </w:tc>
        <w:tc>
          <w:tcPr>
            <w:tcW w:w="791" w:type="dxa"/>
          </w:tcPr>
          <w:p>
            <w:pPr/>
          </w:p>
        </w:tc>
        <w:tc>
          <w:tcPr>
            <w:tcW w:w="791" w:type="dxa"/>
          </w:tcPr>
          <w:p>
            <w:pPr/>
            <w:r>
              <w:t xml:space="preserve">600</w:t>
            </w:r>
          </w:p>
        </w:tc>
        <w:tc>
          <w:tcPr>
            <w:tcW w:w="791" w:type="dxa"/>
          </w:tcPr>
          <w:p>
            <w:pPr/>
            <w:r>
              <w:t xml:space="preserve">600</w:t>
            </w:r>
          </w:p>
        </w:tc>
        <w:tc>
          <w:tcPr>
            <w:tcW w:w="791" w:type="dxa"/>
          </w:tcPr>
          <w:p>
            <w:pPr/>
            <w:r>
              <w:t xml:space="preserve">600</w:t>
            </w:r>
          </w:p>
        </w:tc>
        <w:tc>
          <w:tcPr>
            <w:tcW w:w="791" w:type="dxa"/>
          </w:tcPr>
          <w:p>
            <w:pPr/>
            <w:r>
              <w:t xml:space="preserve">600</w:t>
            </w:r>
          </w:p>
        </w:tc>
        <w:tc>
          <w:tcPr>
            <w:tcW w:w="791" w:type="dxa"/>
          </w:tcPr>
          <w:p>
            <w:pPr/>
          </w:p>
        </w:tc>
        <w:tc>
          <w:tcPr>
            <w:tcW w:w="910" w:type="dxa"/>
          </w:tcPr>
          <w:p>
            <w:pPr/>
          </w:p>
        </w:tc>
      </w:tr>
      <w:tr>
        <w:tc>
          <w:tcPr>
            <w:tcW w:w="2984" w:type="dxa"/>
          </w:tcPr>
          <w:p>
            <w:pPr/>
            <w:r>
              <w:t xml:space="preserve">4. Mampostería y cubierta</w:t>
            </w:r>
          </w:p>
        </w:tc>
        <w:tc>
          <w:tcPr>
            <w:tcW w:w="720" w:type="dxa"/>
          </w:tcPr>
          <w:p>
            <w:pPr/>
          </w:p>
        </w:tc>
        <w:tc>
          <w:tcPr>
            <w:tcW w:w="791" w:type="dxa"/>
          </w:tcPr>
          <w:p>
            <w:pPr/>
          </w:p>
        </w:tc>
        <w:tc>
          <w:tcPr>
            <w:tcW w:w="791" w:type="dxa"/>
          </w:tcPr>
          <w:p>
            <w:pPr/>
          </w:p>
        </w:tc>
        <w:tc>
          <w:tcPr>
            <w:tcW w:w="791" w:type="dxa"/>
          </w:tcPr>
          <w:p>
            <w:pPr/>
          </w:p>
        </w:tc>
        <w:tc>
          <w:tcPr>
            <w:tcW w:w="791" w:type="dxa"/>
          </w:tcPr>
          <w:p>
            <w:pPr/>
            <w:r>
              <w:t xml:space="preserve">400</w:t>
            </w:r>
          </w:p>
        </w:tc>
        <w:tc>
          <w:tcPr>
            <w:tcW w:w="791" w:type="dxa"/>
          </w:tcPr>
          <w:p>
            <w:pPr/>
            <w:r>
              <w:t xml:space="preserve">400</w:t>
            </w:r>
          </w:p>
        </w:tc>
        <w:tc>
          <w:tcPr>
            <w:tcW w:w="791" w:type="dxa"/>
          </w:tcPr>
          <w:p>
            <w:pPr/>
            <w:r>
              <w:t xml:space="preserve">400</w:t>
            </w:r>
          </w:p>
        </w:tc>
        <w:tc>
          <w:tcPr>
            <w:tcW w:w="910" w:type="dxa"/>
          </w:tcPr>
          <w:p>
            <w:pPr/>
          </w:p>
        </w:tc>
      </w:tr>
      <w:tr>
        <w:tc>
          <w:tcPr>
            <w:tcW w:w="2984" w:type="dxa"/>
          </w:tcPr>
          <w:p>
            <w:pPr/>
            <w:r>
              <w:t xml:space="preserve">5. Instalaciones</w:t>
            </w:r>
          </w:p>
        </w:tc>
        <w:tc>
          <w:tcPr>
            <w:tcW w:w="720" w:type="dxa"/>
          </w:tcPr>
          <w:p>
            <w:pPr/>
          </w:p>
        </w:tc>
        <w:tc>
          <w:tcPr>
            <w:tcW w:w="791" w:type="dxa"/>
          </w:tcPr>
          <w:p>
            <w:pPr/>
          </w:p>
        </w:tc>
        <w:tc>
          <w:tcPr>
            <w:tcW w:w="791" w:type="dxa"/>
          </w:tcPr>
          <w:p>
            <w:pPr/>
          </w:p>
        </w:tc>
        <w:tc>
          <w:tcPr>
            <w:tcW w:w="791" w:type="dxa"/>
          </w:tcPr>
          <w:p>
            <w:pPr/>
            <w:r>
              <w:t xml:space="preserve">200</w:t>
            </w:r>
          </w:p>
        </w:tc>
        <w:tc>
          <w:tcPr>
            <w:tcW w:w="791" w:type="dxa"/>
          </w:tcPr>
          <w:p>
            <w:pPr/>
            <w:r>
              <w:t xml:space="preserve">200</w:t>
            </w:r>
          </w:p>
        </w:tc>
        <w:tc>
          <w:tcPr>
            <w:tcW w:w="791" w:type="dxa"/>
          </w:tcPr>
          <w:p>
            <w:pPr/>
            <w:r>
              <w:t xml:space="preserve">200</w:t>
            </w:r>
          </w:p>
        </w:tc>
        <w:tc>
          <w:tcPr>
            <w:tcW w:w="791" w:type="dxa"/>
          </w:tcPr>
          <w:p>
            <w:pPr/>
            <w:r>
              <w:t xml:space="preserve">200</w:t>
            </w:r>
          </w:p>
        </w:tc>
        <w:tc>
          <w:tcPr>
            <w:tcW w:w="910" w:type="dxa"/>
          </w:tcPr>
          <w:p>
            <w:pPr/>
            <w:r>
              <w:t xml:space="preserve">200</w:t>
            </w:r>
          </w:p>
        </w:tc>
      </w:tr>
      <w:tr>
        <w:tc>
          <w:tcPr>
            <w:tcW w:w="2984" w:type="dxa"/>
          </w:tcPr>
          <w:p>
            <w:pPr/>
            <w:r>
              <w:t xml:space="preserve">6. Acabados</w:t>
            </w:r>
          </w:p>
        </w:tc>
        <w:tc>
          <w:tcPr>
            <w:tcW w:w="720" w:type="dxa"/>
          </w:tcPr>
          <w:p>
            <w:pPr/>
          </w:p>
        </w:tc>
        <w:tc>
          <w:tcPr>
            <w:tcW w:w="791" w:type="dxa"/>
          </w:tcPr>
          <w:p>
            <w:pPr/>
          </w:p>
        </w:tc>
        <w:tc>
          <w:tcPr>
            <w:tcW w:w="791" w:type="dxa"/>
          </w:tcPr>
          <w:p>
            <w:pPr/>
          </w:p>
        </w:tc>
        <w:tc>
          <w:tcPr>
            <w:tcW w:w="791" w:type="dxa"/>
          </w:tcPr>
          <w:p>
            <w:pPr/>
          </w:p>
        </w:tc>
        <w:tc>
          <w:tcPr>
            <w:tcW w:w="791" w:type="dxa"/>
          </w:tcPr>
          <w:p>
            <w:pPr/>
          </w:p>
        </w:tc>
        <w:tc>
          <w:tcPr>
            <w:tcW w:w="791" w:type="dxa"/>
          </w:tcPr>
          <w:p>
            <w:pPr/>
            <w:r>
              <w:t xml:space="preserve">500</w:t>
            </w:r>
          </w:p>
        </w:tc>
        <w:tc>
          <w:tcPr>
            <w:tcW w:w="791" w:type="dxa"/>
          </w:tcPr>
          <w:p>
            <w:pPr/>
            <w:r>
              <w:t xml:space="preserve">500</w:t>
            </w:r>
          </w:p>
        </w:tc>
        <w:tc>
          <w:tcPr>
            <w:tcW w:w="910" w:type="dxa"/>
          </w:tcPr>
          <w:p>
            <w:pPr/>
            <w:r>
              <w:t xml:space="preserve">500</w:t>
            </w:r>
          </w:p>
        </w:tc>
      </w:tr>
      <w:tr>
        <w:tc>
          <w:tcPr>
            <w:tcW w:w="2984" w:type="dxa"/>
          </w:tcPr>
          <w:p>
            <w:pPr/>
            <w:r>
              <w:t xml:space="preserve">7. Urbanismo</w:t>
            </w:r>
          </w:p>
        </w:tc>
        <w:tc>
          <w:tcPr>
            <w:tcW w:w="720" w:type="dxa"/>
          </w:tcPr>
          <w:p>
            <w:pPr/>
          </w:p>
        </w:tc>
        <w:tc>
          <w:tcPr>
            <w:tcW w:w="791" w:type="dxa"/>
          </w:tcPr>
          <w:p>
            <w:pPr/>
          </w:p>
        </w:tc>
        <w:tc>
          <w:tcPr>
            <w:tcW w:w="791" w:type="dxa"/>
          </w:tcPr>
          <w:p>
            <w:pPr/>
          </w:p>
        </w:tc>
        <w:tc>
          <w:tcPr>
            <w:tcW w:w="791" w:type="dxa"/>
          </w:tcPr>
          <w:p>
            <w:pPr/>
          </w:p>
        </w:tc>
        <w:tc>
          <w:tcPr>
            <w:tcW w:w="791" w:type="dxa"/>
          </w:tcPr>
          <w:p>
            <w:pPr/>
          </w:p>
        </w:tc>
        <w:tc>
          <w:tcPr>
            <w:tcW w:w="791" w:type="dxa"/>
          </w:tcPr>
          <w:p>
            <w:pPr/>
          </w:p>
        </w:tc>
        <w:tc>
          <w:tcPr>
            <w:tcW w:w="791" w:type="dxa"/>
          </w:tcPr>
          <w:p>
            <w:pPr/>
            <w:r>
              <w:t xml:space="preserve">150</w:t>
            </w:r>
          </w:p>
        </w:tc>
        <w:tc>
          <w:tcPr>
            <w:tcW w:w="910" w:type="dxa"/>
          </w:tcPr>
          <w:p>
            <w:pPr/>
            <w:r>
              <w:t xml:space="preserve">150</w:t>
            </w:r>
          </w:p>
        </w:tc>
      </w:tr>
      <w:tr>
        <w:tc>
          <w:tcPr>
            <w:tcW w:w="2984" w:type="dxa"/>
          </w:tcPr>
          <w:p>
            <w:pPr/>
            <w:r>
              <w:rPr>
                <w:b/>
              </w:rPr>
              <w:t xml:space="preserve">Total mensual</w:t>
            </w:r>
          </w:p>
        </w:tc>
        <w:tc>
          <w:tcPr>
            <w:tcW w:w="720" w:type="dxa"/>
          </w:tcPr>
          <w:p>
            <w:pPr/>
            <w:r>
              <w:t xml:space="preserve">200</w:t>
            </w:r>
          </w:p>
        </w:tc>
        <w:tc>
          <w:tcPr>
            <w:tcW w:w="791" w:type="dxa"/>
          </w:tcPr>
          <w:p>
            <w:pPr/>
            <w:r>
              <w:t xml:space="preserve">800</w:t>
            </w:r>
          </w:p>
        </w:tc>
        <w:tc>
          <w:tcPr>
            <w:tcW w:w="791" w:type="dxa"/>
          </w:tcPr>
          <w:p>
            <w:pPr/>
            <w:r>
              <w:t xml:space="preserve">1.200</w:t>
            </w:r>
          </w:p>
        </w:tc>
        <w:tc>
          <w:tcPr>
            <w:tcW w:w="791" w:type="dxa"/>
          </w:tcPr>
          <w:p>
            <w:pPr/>
            <w:r>
              <w:t xml:space="preserve">800</w:t>
            </w:r>
          </w:p>
        </w:tc>
        <w:tc>
          <w:tcPr>
            <w:tcW w:w="791" w:type="dxa"/>
          </w:tcPr>
          <w:p>
            <w:pPr/>
            <w:r>
              <w:t xml:space="preserve">1.200</w:t>
            </w:r>
          </w:p>
        </w:tc>
        <w:tc>
          <w:tcPr>
            <w:tcW w:w="791" w:type="dxa"/>
          </w:tcPr>
          <w:p>
            <w:pPr/>
            <w:r>
              <w:t xml:space="preserve">1.700</w:t>
            </w:r>
          </w:p>
        </w:tc>
        <w:tc>
          <w:tcPr>
            <w:tcW w:w="791" w:type="dxa"/>
          </w:tcPr>
          <w:p>
            <w:pPr/>
            <w:r>
              <w:t xml:space="preserve">1.250</w:t>
            </w:r>
          </w:p>
        </w:tc>
        <w:tc>
          <w:tcPr>
            <w:tcW w:w="910" w:type="dxa"/>
          </w:tcPr>
          <w:p>
            <w:pPr/>
            <w:r>
              <w:t xml:space="preserve">850</w:t>
            </w:r>
          </w:p>
        </w:tc>
      </w:tr>
      <w:tr>
        <w:tc>
          <w:tcPr>
            <w:tcW w:w="2984" w:type="dxa"/>
          </w:tcPr>
          <w:p>
            <w:pPr/>
            <w:r>
              <w:rPr>
                <w:b/>
              </w:rPr>
              <w:t xml:space="preserve">Acumulado</w:t>
            </w:r>
          </w:p>
        </w:tc>
        <w:tc>
          <w:tcPr>
            <w:tcW w:w="720" w:type="dxa"/>
          </w:tcPr>
          <w:p>
            <w:pPr/>
            <w:r>
              <w:t xml:space="preserve">200</w:t>
            </w:r>
          </w:p>
        </w:tc>
        <w:tc>
          <w:tcPr>
            <w:tcW w:w="791" w:type="dxa"/>
          </w:tcPr>
          <w:p>
            <w:pPr/>
            <w:r>
              <w:t xml:space="preserve">1.000</w:t>
            </w:r>
          </w:p>
        </w:tc>
        <w:tc>
          <w:tcPr>
            <w:tcW w:w="791" w:type="dxa"/>
          </w:tcPr>
          <w:p>
            <w:pPr/>
            <w:r>
              <w:t xml:space="preserve">2.200</w:t>
            </w:r>
          </w:p>
        </w:tc>
        <w:tc>
          <w:tcPr>
            <w:tcW w:w="791" w:type="dxa"/>
          </w:tcPr>
          <w:p>
            <w:pPr/>
            <w:r>
              <w:t xml:space="preserve">3.000</w:t>
            </w:r>
          </w:p>
        </w:tc>
        <w:tc>
          <w:tcPr>
            <w:tcW w:w="791" w:type="dxa"/>
          </w:tcPr>
          <w:p>
            <w:pPr/>
            <w:r>
              <w:t xml:space="preserve">4.200</w:t>
            </w:r>
          </w:p>
        </w:tc>
        <w:tc>
          <w:tcPr>
            <w:tcW w:w="791" w:type="dxa"/>
          </w:tcPr>
          <w:p>
            <w:pPr/>
            <w:r>
              <w:t xml:space="preserve">5.900</w:t>
            </w:r>
          </w:p>
        </w:tc>
        <w:tc>
          <w:tcPr>
            <w:tcW w:w="791" w:type="dxa"/>
          </w:tcPr>
          <w:p>
            <w:pPr/>
            <w:r>
              <w:t xml:space="preserve">7.150</w:t>
            </w:r>
          </w:p>
        </w:tc>
        <w:tc>
          <w:tcPr>
            <w:tcW w:w="910" w:type="dxa"/>
          </w:tcPr>
          <w:p>
            <w:pPr/>
            <w:r>
              <w:t xml:space="preserve">8.000</w:t>
            </w:r>
          </w:p>
        </w:tc>
      </w:tr>
      <w:tr>
        <w:tc>
          <w:tcPr>
            <w:tcW w:w="2984" w:type="dxa"/>
          </w:tcPr>
          <w:p>
            <w:pPr/>
            <w:r>
              <w:rPr>
                <w:b/>
              </w:rPr>
              <w:t xml:space="preserve">% acumulado</w:t>
            </w:r>
          </w:p>
        </w:tc>
        <w:tc>
          <w:tcPr>
            <w:tcW w:w="720" w:type="dxa"/>
          </w:tcPr>
          <w:p>
            <w:pPr/>
            <w:r>
              <w:t xml:space="preserve">2,50</w:t>
            </w:r>
          </w:p>
        </w:tc>
        <w:tc>
          <w:tcPr>
            <w:tcW w:w="791" w:type="dxa"/>
          </w:tcPr>
          <w:p>
            <w:pPr/>
            <w:r>
              <w:t xml:space="preserve">12,50</w:t>
            </w:r>
          </w:p>
        </w:tc>
        <w:tc>
          <w:tcPr>
            <w:tcW w:w="791" w:type="dxa"/>
          </w:tcPr>
          <w:p>
            <w:pPr/>
            <w:r>
              <w:t xml:space="preserve">27,50</w:t>
            </w:r>
          </w:p>
        </w:tc>
        <w:tc>
          <w:tcPr>
            <w:tcW w:w="791" w:type="dxa"/>
          </w:tcPr>
          <w:p>
            <w:pPr/>
            <w:r>
              <w:t xml:space="preserve">37,50</w:t>
            </w:r>
          </w:p>
        </w:tc>
        <w:tc>
          <w:tcPr>
            <w:tcW w:w="791" w:type="dxa"/>
          </w:tcPr>
          <w:p>
            <w:pPr/>
            <w:r>
              <w:t xml:space="preserve">52,50</w:t>
            </w:r>
          </w:p>
        </w:tc>
        <w:tc>
          <w:tcPr>
            <w:tcW w:w="791" w:type="dxa"/>
          </w:tcPr>
          <w:p>
            <w:pPr/>
            <w:r>
              <w:t xml:space="preserve">73,75</w:t>
            </w:r>
          </w:p>
        </w:tc>
        <w:tc>
          <w:tcPr>
            <w:tcW w:w="791" w:type="dxa"/>
          </w:tcPr>
          <w:p>
            <w:pPr/>
            <w:r>
              <w:t xml:space="preserve">89,38</w:t>
            </w:r>
          </w:p>
        </w:tc>
        <w:tc>
          <w:tcPr>
            <w:tcW w:w="910" w:type="dxa"/>
          </w:tcPr>
          <w:p>
            <w:pPr/>
            <w:r>
              <w:t xml:space="preserve">100,00</w:t>
            </w:r>
          </w:p>
        </w:tc>
      </w:tr>
      <w:tr>
        <w:tc>
          <w:tcPr>
            <w:tcW w:w="2984" w:type="dxa"/>
          </w:tcPr>
          <w:p>
            <w:pPr/>
            <w:r>
              <w:rPr>
                <w:b/>
              </w:rPr>
              <w:t xml:space="preserve">Ejecutado acumulado</w:t>
            </w:r>
          </w:p>
        </w:tc>
        <w:tc>
          <w:tcPr>
            <w:tcW w:w="720" w:type="dxa"/>
          </w:tcPr>
          <w:p>
            <w:pPr/>
            <w:r>
              <w:t xml:space="preserve">150</w:t>
            </w:r>
          </w:p>
        </w:tc>
        <w:tc>
          <w:tcPr>
            <w:tcW w:w="791" w:type="dxa"/>
          </w:tcPr>
          <w:p>
            <w:pPr/>
            <w:r>
              <w:t xml:space="preserve">750</w:t>
            </w:r>
          </w:p>
        </w:tc>
        <w:tc>
          <w:tcPr>
            <w:tcW w:w="791" w:type="dxa"/>
          </w:tcPr>
          <w:p>
            <w:pPr/>
            <w:r>
              <w:t xml:space="preserve">1.650</w:t>
            </w:r>
          </w:p>
        </w:tc>
        <w:tc>
          <w:tcPr>
            <w:tcW w:w="791" w:type="dxa"/>
          </w:tcPr>
          <w:p>
            <w:pPr/>
            <w:r>
              <w:t xml:space="preserve">2.500</w:t>
            </w:r>
          </w:p>
        </w:tc>
        <w:tc>
          <w:tcPr>
            <w:tcW w:w="791" w:type="dxa"/>
          </w:tcPr>
          <w:p>
            <w:pPr/>
            <w:r>
              <w:t xml:space="preserve">3.400</w:t>
            </w:r>
          </w:p>
        </w:tc>
        <w:tc>
          <w:tcPr>
            <w:tcW w:w="791" w:type="dxa"/>
          </w:tcPr>
          <w:p>
            <w:pPr/>
          </w:p>
        </w:tc>
        <w:tc>
          <w:tcPr>
            <w:tcW w:w="791" w:type="dxa"/>
          </w:tcPr>
          <w:p>
            <w:pPr/>
          </w:p>
        </w:tc>
        <w:tc>
          <w:tcPr>
            <w:tcW w:w="910" w:type="dxa"/>
          </w:tcPr>
          <w:p>
            <w:pPr/>
          </w:p>
        </w:tc>
      </w:tr>
      <w:tr>
        <w:tc>
          <w:tcPr>
            <w:tcW w:w="2984" w:type="dxa"/>
          </w:tcPr>
          <w:p>
            <w:pPr/>
            <w:r>
              <w:rPr>
                <w:b/>
              </w:rPr>
              <w:t xml:space="preserve">% ejecutado acumulado</w:t>
            </w:r>
          </w:p>
        </w:tc>
        <w:tc>
          <w:tcPr>
            <w:tcW w:w="720" w:type="dxa"/>
          </w:tcPr>
          <w:p>
            <w:pPr/>
            <w:r>
              <w:t xml:space="preserve">1,88</w:t>
            </w:r>
          </w:p>
        </w:tc>
        <w:tc>
          <w:tcPr>
            <w:tcW w:w="791" w:type="dxa"/>
          </w:tcPr>
          <w:p>
            <w:pPr/>
            <w:r>
              <w:t xml:space="preserve">9,38</w:t>
            </w:r>
          </w:p>
        </w:tc>
        <w:tc>
          <w:tcPr>
            <w:tcW w:w="791" w:type="dxa"/>
          </w:tcPr>
          <w:p>
            <w:pPr/>
            <w:r>
              <w:t xml:space="preserve">20,63</w:t>
            </w:r>
          </w:p>
        </w:tc>
        <w:tc>
          <w:tcPr>
            <w:tcW w:w="791" w:type="dxa"/>
          </w:tcPr>
          <w:p>
            <w:pPr/>
            <w:r>
              <w:t xml:space="preserve">31,25</w:t>
            </w:r>
          </w:p>
        </w:tc>
        <w:tc>
          <w:tcPr>
            <w:tcW w:w="791" w:type="dxa"/>
          </w:tcPr>
          <w:p>
            <w:pPr/>
            <w:r>
              <w:t xml:space="preserve">42,50</w:t>
            </w:r>
          </w:p>
        </w:tc>
        <w:tc>
          <w:tcPr>
            <w:tcW w:w="791" w:type="dxa"/>
          </w:tcPr>
          <w:p>
            <w:pPr/>
          </w:p>
        </w:tc>
        <w:tc>
          <w:tcPr>
            <w:tcW w:w="791" w:type="dxa"/>
          </w:tcPr>
          <w:p>
            <w:pPr/>
          </w:p>
        </w:tc>
        <w:tc>
          <w:tcPr>
            <w:tcW w:w="910" w:type="dxa"/>
          </w:tcPr>
          <w:p>
            <w:pPr/>
          </w:p>
        </w:tc>
      </w:tr>
    </w:tbl>
    <w:p>
      <w:pPr/>
      <w:r>
        <w:t xml:space="preserve">Puntaje: 4 si el cuadro y los acumulados son correctos; 2 si hay errores de distribución en una o dos actividades.</w:t>
      </w:r>
    </w:p>
    <w:p>
      <w:pPr/>
      <w:r>
        <w:rPr>
          <w:b/>
        </w:rPr>
        <w:t xml:space="preserve">2. Curva S.</w:t>
      </w:r>
      <w:r>
        <w:t xml:space="preserve"> La gráfica de referencia está debajo de este apartado. Puntaje: 4 si ambas curvas parten de 0 en el mes 0, usan porcentaje acumulado en el eje vertical y se rotulan; 2 si falta la curva ejecutada o los rótulos.</w:t>
      </w:r>
    </w:p>
    <w:p>
      <w:pPr/>
      <w:r>
        <w:drawing>
          <wp:inline distT="0" distB="0" distL="0" distR="0">
            <wp:extent cx="5486400" cy="3298371"/>
            <wp:docPr id="1" name="image1" descr="Datos del caso integrador 2 · programa aprobado y actas de los meses 1 a 5"/>
            <a:graphic xmlns:a="http://schemas.openxmlformats.org/drawingml/2006/main">
              <a:graphicData uri="http://schemas.openxmlformats.org/drawingml/2006/picture">
                <pic:pic xmlns:pic="http://schemas.openxmlformats.org/drawingml/2006/picture">
                  <pic:nvPicPr>
                    <pic:cNvPr id="1" name="image1" descr="Datos del caso integrador 2 · programa aprobado y actas de los meses 1 a 5"/>
                    <pic:cNvPicPr/>
                  </pic:nvPicPr>
                  <pic:blipFill>
                    <a:blip r:embed="rId3"/>
                    <a:stretch>
                      <a:fillRect/>
                    </a:stretch>
                  </pic:blipFill>
                  <pic:spPr>
                    <a:xfrm>
                      <a:off x="0" y="0"/>
                      <a:ext cx="5486400" cy="3298371"/>
                    </a:xfrm>
                    <a:prstGeom prst="rect">
                      <a:avLst/>
                    </a:prstGeom>
                  </pic:spPr>
                </pic:pic>
              </a:graphicData>
            </a:graphic>
          </wp:inline>
        </w:drawing>
      </w:r>
    </w:p>
    <w:p>
      <w:pPr/>
      <w:r>
        <w:t xml:space="preserve">Datos del caso integrador 2 · programa aprobado y actas de los meses 1 a 5</w:t>
      </w:r>
    </w:p>
    <w:p>
      <w:pPr/>
      <w:r>
        <w:rPr>
          <w:b/>
        </w:rPr>
        <w:t xml:space="preserve">3. Desviación y SPI al mes 5.</w:t>
      </w:r>
    </w:p>
    <w:p>
      <w:pPr>
        <w:pStyle w:val="ListParagraph"/>
        <w:numPr>
          <w:ilvl w:val="0"/>
          <w:numId w:val="52"/>
        </w:numPr>
      </w:pPr>
      <w:r>
        <w:t xml:space="preserve">Ejecutado acumulado: 3.400 / 8.000 = 42,50 %.</w:t>
      </w:r>
    </w:p>
    <w:p>
      <w:pPr>
        <w:pStyle w:val="ListParagraph"/>
        <w:numPr>
          <w:ilvl w:val="0"/>
          <w:numId w:val="52"/>
        </w:numPr>
      </w:pPr>
      <w:r>
        <w:t xml:space="preserve">Desviación: 52,50 − 42,50 = 10,00 puntos porcentuales, igual al umbral, así que procede exigir plan de contingencia e informar a la entidad.</w:t>
      </w:r>
    </w:p>
    <w:p>
      <w:pPr>
        <w:pStyle w:val="ListParagraph"/>
        <w:numPr>
          <w:ilvl w:val="0"/>
          <w:numId w:val="52"/>
        </w:numPr>
      </w:pPr>
      <w:r>
        <w:t xml:space="preserve">SPI = 3.400 / 4.200 = 0,81. Por cada peso programado se ejecutaron 81 centavos.</w:t>
      </w:r>
    </w:p>
    <w:p>
      <w:pPr>
        <w:pStyle w:val="ListParagraph"/>
        <w:numPr>
          <w:ilvl w:val="0"/>
          <w:numId w:val="52"/>
        </w:numPr>
      </w:pPr>
      <w:r>
        <w:t xml:space="preserve">Revisar primero la estructura: es la actividad de mayor valor ($2.400 millones), está en la ruta crítica y de ella dependen la mampostería, la cubierta y los acabados. También la cimentación, porque el atraso empezó en los meses 2 y 3. El mes 4 superó lo programado (850 contra 800), pero no compensó el atraso acumulado.</w:t>
      </w:r>
    </w:p>
    <w:p>
      <w:pPr/>
      <w:r>
        <w:rPr>
          <w:b/>
        </w:rPr>
        <w:t xml:space="preserve">4. Flujo de efectivo del contratista ($ millones)</w:t>
      </w:r>
    </w:p>
    <w:p>
      <w:pPr/>
      <w:r>
        <w:t xml:space="preserve">Con anticipo: pago neto de cada acta = 65 % de su valor (100 % − 30 % de amortización − 5 % de retención), recibido el mes siguiente.</w:t>
      </w:r>
    </w:p>
    <w:tbl>
      <w:tblPr>
        <w:tblStyle w:val="TableGrid"/>
        <w:tblW w:w="0" w:type="auto"/>
        <w:tblLayout w:type="fixed"/>
        <w:tblLook w:val="04A0" w:firstRow="1" w:lastRow="0" w:firstColumn="0" w:lastColumn="0" w:noHBand="0" w:noVBand="1"/>
      </w:tblPr>
      <w:tblGrid>
        <w:gridCol w:w="1231"/>
        <w:gridCol w:w="1895"/>
        <w:gridCol w:w="1621"/>
        <w:gridCol w:w="2232"/>
        <w:gridCol w:w="2378"/>
      </w:tblGrid>
      <w:tr>
        <w:trPr>
          <w:tblHeader/>
        </w:trPr>
        <w:tc>
          <w:tcPr>
            <w:tcW w:w="1231" w:type="dxa"/>
            <w:shd w:val="clear" w:color="auto" w:fill="F2F2F2"/>
          </w:tcPr>
          <w:p>
            <w:pPr/>
            <w:r>
              <w:t xml:space="preserve">Mes</w:t>
            </w:r>
          </w:p>
        </w:tc>
        <w:tc>
          <w:tcPr>
            <w:tcW w:w="1895" w:type="dxa"/>
            <w:shd w:val="clear" w:color="auto" w:fill="F2F2F2"/>
          </w:tcPr>
          <w:p>
            <w:pPr/>
            <w:r>
              <w:t xml:space="preserve">Ingresos</w:t>
            </w:r>
          </w:p>
        </w:tc>
        <w:tc>
          <w:tcPr>
            <w:tcW w:w="1621" w:type="dxa"/>
            <w:shd w:val="clear" w:color="auto" w:fill="F2F2F2"/>
          </w:tcPr>
          <w:p>
            <w:pPr/>
            <w:r>
              <w:t xml:space="preserve">Costos</w:t>
            </w:r>
          </w:p>
        </w:tc>
        <w:tc>
          <w:tcPr>
            <w:tcW w:w="2232" w:type="dxa"/>
            <w:shd w:val="clear" w:color="auto" w:fill="F2F2F2"/>
          </w:tcPr>
          <w:p>
            <w:pPr/>
            <w:r>
              <w:t xml:space="preserve">Flujo neto</w:t>
            </w:r>
          </w:p>
        </w:tc>
        <w:tc>
          <w:tcPr>
            <w:tcW w:w="2378" w:type="dxa"/>
            <w:shd w:val="clear" w:color="auto" w:fill="F2F2F2"/>
          </w:tcPr>
          <w:p>
            <w:pPr/>
            <w:r>
              <w:t xml:space="preserve">Acumulado</w:t>
            </w:r>
          </w:p>
        </w:tc>
      </w:tr>
      <w:tr>
        <w:tc>
          <w:tcPr>
            <w:tcW w:w="1231" w:type="dxa"/>
          </w:tcPr>
          <w:p>
            <w:pPr/>
            <w:r>
              <w:t xml:space="preserve">0</w:t>
            </w:r>
          </w:p>
        </w:tc>
        <w:tc>
          <w:tcPr>
            <w:tcW w:w="1895" w:type="dxa"/>
          </w:tcPr>
          <w:p>
            <w:pPr/>
            <w:r>
              <w:t xml:space="preserve">2.400,0</w:t>
            </w:r>
          </w:p>
        </w:tc>
        <w:tc>
          <w:tcPr>
            <w:tcW w:w="1621" w:type="dxa"/>
          </w:tcPr>
          <w:p>
            <w:pPr/>
            <w:r>
              <w:t xml:space="preserve">0</w:t>
            </w:r>
          </w:p>
        </w:tc>
        <w:tc>
          <w:tcPr>
            <w:tcW w:w="2232" w:type="dxa"/>
          </w:tcPr>
          <w:p>
            <w:pPr/>
            <w:r>
              <w:t xml:space="preserve">2.400,0</w:t>
            </w:r>
          </w:p>
        </w:tc>
        <w:tc>
          <w:tcPr>
            <w:tcW w:w="2378" w:type="dxa"/>
          </w:tcPr>
          <w:p>
            <w:pPr/>
            <w:r>
              <w:t xml:space="preserve">2.400,0</w:t>
            </w:r>
          </w:p>
        </w:tc>
      </w:tr>
      <w:tr>
        <w:tc>
          <w:tcPr>
            <w:tcW w:w="1231" w:type="dxa"/>
          </w:tcPr>
          <w:p>
            <w:pPr/>
            <w:r>
              <w:t xml:space="preserve">1</w:t>
            </w:r>
          </w:p>
        </w:tc>
        <w:tc>
          <w:tcPr>
            <w:tcW w:w="1895" w:type="dxa"/>
          </w:tcPr>
          <w:p>
            <w:pPr/>
            <w:r>
              <w:t xml:space="preserve">0</w:t>
            </w:r>
          </w:p>
        </w:tc>
        <w:tc>
          <w:tcPr>
            <w:tcW w:w="1621" w:type="dxa"/>
          </w:tcPr>
          <w:p>
            <w:pPr/>
            <w:r>
              <w:t xml:space="preserve">160</w:t>
            </w:r>
          </w:p>
        </w:tc>
        <w:tc>
          <w:tcPr>
            <w:tcW w:w="2232" w:type="dxa"/>
          </w:tcPr>
          <w:p>
            <w:pPr/>
            <w:r>
              <w:t xml:space="preserve">−160,0</w:t>
            </w:r>
          </w:p>
        </w:tc>
        <w:tc>
          <w:tcPr>
            <w:tcW w:w="2378" w:type="dxa"/>
          </w:tcPr>
          <w:p>
            <w:pPr/>
            <w:r>
              <w:t xml:space="preserve">2.240,0</w:t>
            </w:r>
          </w:p>
        </w:tc>
      </w:tr>
      <w:tr>
        <w:tc>
          <w:tcPr>
            <w:tcW w:w="1231" w:type="dxa"/>
          </w:tcPr>
          <w:p>
            <w:pPr/>
            <w:r>
              <w:t xml:space="preserve">2</w:t>
            </w:r>
          </w:p>
        </w:tc>
        <w:tc>
          <w:tcPr>
            <w:tcW w:w="1895" w:type="dxa"/>
          </w:tcPr>
          <w:p>
            <w:pPr/>
            <w:r>
              <w:t xml:space="preserve">130,0</w:t>
            </w:r>
          </w:p>
        </w:tc>
        <w:tc>
          <w:tcPr>
            <w:tcW w:w="1621" w:type="dxa"/>
          </w:tcPr>
          <w:p>
            <w:pPr/>
            <w:r>
              <w:t xml:space="preserve">640</w:t>
            </w:r>
          </w:p>
        </w:tc>
        <w:tc>
          <w:tcPr>
            <w:tcW w:w="2232" w:type="dxa"/>
          </w:tcPr>
          <w:p>
            <w:pPr/>
            <w:r>
              <w:t xml:space="preserve">−510,0</w:t>
            </w:r>
          </w:p>
        </w:tc>
        <w:tc>
          <w:tcPr>
            <w:tcW w:w="2378" w:type="dxa"/>
          </w:tcPr>
          <w:p>
            <w:pPr/>
            <w:r>
              <w:t xml:space="preserve">1.730,0</w:t>
            </w:r>
          </w:p>
        </w:tc>
      </w:tr>
      <w:tr>
        <w:tc>
          <w:tcPr>
            <w:tcW w:w="1231" w:type="dxa"/>
          </w:tcPr>
          <w:p>
            <w:pPr/>
            <w:r>
              <w:t xml:space="preserve">3</w:t>
            </w:r>
          </w:p>
        </w:tc>
        <w:tc>
          <w:tcPr>
            <w:tcW w:w="1895" w:type="dxa"/>
          </w:tcPr>
          <w:p>
            <w:pPr/>
            <w:r>
              <w:t xml:space="preserve">520,0</w:t>
            </w:r>
          </w:p>
        </w:tc>
        <w:tc>
          <w:tcPr>
            <w:tcW w:w="1621" w:type="dxa"/>
          </w:tcPr>
          <w:p>
            <w:pPr/>
            <w:r>
              <w:t xml:space="preserve">960</w:t>
            </w:r>
          </w:p>
        </w:tc>
        <w:tc>
          <w:tcPr>
            <w:tcW w:w="2232" w:type="dxa"/>
          </w:tcPr>
          <w:p>
            <w:pPr/>
            <w:r>
              <w:t xml:space="preserve">−440,0</w:t>
            </w:r>
          </w:p>
        </w:tc>
        <w:tc>
          <w:tcPr>
            <w:tcW w:w="2378" w:type="dxa"/>
          </w:tcPr>
          <w:p>
            <w:pPr/>
            <w:r>
              <w:t xml:space="preserve">1.290,0</w:t>
            </w:r>
          </w:p>
        </w:tc>
      </w:tr>
      <w:tr>
        <w:tc>
          <w:tcPr>
            <w:tcW w:w="1231" w:type="dxa"/>
          </w:tcPr>
          <w:p>
            <w:pPr/>
            <w:r>
              <w:t xml:space="preserve">4</w:t>
            </w:r>
          </w:p>
        </w:tc>
        <w:tc>
          <w:tcPr>
            <w:tcW w:w="1895" w:type="dxa"/>
          </w:tcPr>
          <w:p>
            <w:pPr/>
            <w:r>
              <w:t xml:space="preserve">780,0</w:t>
            </w:r>
          </w:p>
        </w:tc>
        <w:tc>
          <w:tcPr>
            <w:tcW w:w="1621" w:type="dxa"/>
          </w:tcPr>
          <w:p>
            <w:pPr/>
            <w:r>
              <w:t xml:space="preserve">640</w:t>
            </w:r>
          </w:p>
        </w:tc>
        <w:tc>
          <w:tcPr>
            <w:tcW w:w="2232" w:type="dxa"/>
          </w:tcPr>
          <w:p>
            <w:pPr/>
            <w:r>
              <w:t xml:space="preserve">140,0</w:t>
            </w:r>
          </w:p>
        </w:tc>
        <w:tc>
          <w:tcPr>
            <w:tcW w:w="2378" w:type="dxa"/>
          </w:tcPr>
          <w:p>
            <w:pPr/>
            <w:r>
              <w:t xml:space="preserve">1.430,0</w:t>
            </w:r>
          </w:p>
        </w:tc>
      </w:tr>
      <w:tr>
        <w:tc>
          <w:tcPr>
            <w:tcW w:w="1231" w:type="dxa"/>
          </w:tcPr>
          <w:p>
            <w:pPr/>
            <w:r>
              <w:t xml:space="preserve">5</w:t>
            </w:r>
          </w:p>
        </w:tc>
        <w:tc>
          <w:tcPr>
            <w:tcW w:w="1895" w:type="dxa"/>
          </w:tcPr>
          <w:p>
            <w:pPr/>
            <w:r>
              <w:t xml:space="preserve">520,0</w:t>
            </w:r>
          </w:p>
        </w:tc>
        <w:tc>
          <w:tcPr>
            <w:tcW w:w="1621" w:type="dxa"/>
          </w:tcPr>
          <w:p>
            <w:pPr/>
            <w:r>
              <w:t xml:space="preserve">960</w:t>
            </w:r>
          </w:p>
        </w:tc>
        <w:tc>
          <w:tcPr>
            <w:tcW w:w="2232" w:type="dxa"/>
          </w:tcPr>
          <w:p>
            <w:pPr/>
            <w:r>
              <w:t xml:space="preserve">−440,0</w:t>
            </w:r>
          </w:p>
        </w:tc>
        <w:tc>
          <w:tcPr>
            <w:tcW w:w="2378" w:type="dxa"/>
          </w:tcPr>
          <w:p>
            <w:pPr/>
            <w:r>
              <w:t xml:space="preserve">990,0</w:t>
            </w:r>
          </w:p>
        </w:tc>
      </w:tr>
      <w:tr>
        <w:tc>
          <w:tcPr>
            <w:tcW w:w="1231" w:type="dxa"/>
          </w:tcPr>
          <w:p>
            <w:pPr/>
            <w:r>
              <w:t xml:space="preserve">6</w:t>
            </w:r>
          </w:p>
        </w:tc>
        <w:tc>
          <w:tcPr>
            <w:tcW w:w="1895" w:type="dxa"/>
          </w:tcPr>
          <w:p>
            <w:pPr/>
            <w:r>
              <w:t xml:space="preserve">780,0</w:t>
            </w:r>
          </w:p>
        </w:tc>
        <w:tc>
          <w:tcPr>
            <w:tcW w:w="1621" w:type="dxa"/>
          </w:tcPr>
          <w:p>
            <w:pPr/>
            <w:r>
              <w:t xml:space="preserve">1.360</w:t>
            </w:r>
          </w:p>
        </w:tc>
        <w:tc>
          <w:tcPr>
            <w:tcW w:w="2232" w:type="dxa"/>
          </w:tcPr>
          <w:p>
            <w:pPr/>
            <w:r>
              <w:t xml:space="preserve">−580,0</w:t>
            </w:r>
          </w:p>
        </w:tc>
        <w:tc>
          <w:tcPr>
            <w:tcW w:w="2378" w:type="dxa"/>
          </w:tcPr>
          <w:p>
            <w:pPr/>
            <w:r>
              <w:t xml:space="preserve">410,0</w:t>
            </w:r>
          </w:p>
        </w:tc>
      </w:tr>
      <w:tr>
        <w:tc>
          <w:tcPr>
            <w:tcW w:w="1231" w:type="dxa"/>
          </w:tcPr>
          <w:p>
            <w:pPr/>
            <w:r>
              <w:t xml:space="preserve">7</w:t>
            </w:r>
          </w:p>
        </w:tc>
        <w:tc>
          <w:tcPr>
            <w:tcW w:w="1895" w:type="dxa"/>
          </w:tcPr>
          <w:p>
            <w:pPr/>
            <w:r>
              <w:t xml:space="preserve">1.105,0</w:t>
            </w:r>
          </w:p>
        </w:tc>
        <w:tc>
          <w:tcPr>
            <w:tcW w:w="1621" w:type="dxa"/>
          </w:tcPr>
          <w:p>
            <w:pPr/>
            <w:r>
              <w:t xml:space="preserve">1.000</w:t>
            </w:r>
          </w:p>
        </w:tc>
        <w:tc>
          <w:tcPr>
            <w:tcW w:w="2232" w:type="dxa"/>
          </w:tcPr>
          <w:p>
            <w:pPr/>
            <w:r>
              <w:t xml:space="preserve">105,0</w:t>
            </w:r>
          </w:p>
        </w:tc>
        <w:tc>
          <w:tcPr>
            <w:tcW w:w="2378" w:type="dxa"/>
          </w:tcPr>
          <w:p>
            <w:pPr/>
            <w:r>
              <w:t xml:space="preserve">515,0</w:t>
            </w:r>
          </w:p>
        </w:tc>
      </w:tr>
      <w:tr>
        <w:tc>
          <w:tcPr>
            <w:tcW w:w="1231" w:type="dxa"/>
          </w:tcPr>
          <w:p>
            <w:pPr/>
            <w:r>
              <w:t xml:space="preserve">8</w:t>
            </w:r>
          </w:p>
        </w:tc>
        <w:tc>
          <w:tcPr>
            <w:tcW w:w="1895" w:type="dxa"/>
          </w:tcPr>
          <w:p>
            <w:pPr/>
            <w:r>
              <w:t xml:space="preserve">812,5</w:t>
            </w:r>
          </w:p>
        </w:tc>
        <w:tc>
          <w:tcPr>
            <w:tcW w:w="1621" w:type="dxa"/>
          </w:tcPr>
          <w:p>
            <w:pPr/>
            <w:r>
              <w:t xml:space="preserve">680</w:t>
            </w:r>
          </w:p>
        </w:tc>
        <w:tc>
          <w:tcPr>
            <w:tcW w:w="2232" w:type="dxa"/>
          </w:tcPr>
          <w:p>
            <w:pPr/>
            <w:r>
              <w:t xml:space="preserve">132,5</w:t>
            </w:r>
          </w:p>
        </w:tc>
        <w:tc>
          <w:tcPr>
            <w:tcW w:w="2378" w:type="dxa"/>
          </w:tcPr>
          <w:p>
            <w:pPr/>
            <w:r>
              <w:t xml:space="preserve">647,5</w:t>
            </w:r>
          </w:p>
        </w:tc>
      </w:tr>
      <w:tr>
        <w:tc>
          <w:tcPr>
            <w:tcW w:w="1231" w:type="dxa"/>
          </w:tcPr>
          <w:p>
            <w:pPr/>
            <w:r>
              <w:t xml:space="preserve">9</w:t>
            </w:r>
          </w:p>
        </w:tc>
        <w:tc>
          <w:tcPr>
            <w:tcW w:w="1895" w:type="dxa"/>
          </w:tcPr>
          <w:p>
            <w:pPr/>
            <w:r>
              <w:t xml:space="preserve">552,5</w:t>
            </w:r>
          </w:p>
        </w:tc>
        <w:tc>
          <w:tcPr>
            <w:tcW w:w="1621" w:type="dxa"/>
          </w:tcPr>
          <w:p>
            <w:pPr/>
            <w:r>
              <w:t xml:space="preserve">0</w:t>
            </w:r>
          </w:p>
        </w:tc>
        <w:tc>
          <w:tcPr>
            <w:tcW w:w="2232" w:type="dxa"/>
          </w:tcPr>
          <w:p>
            <w:pPr/>
            <w:r>
              <w:t xml:space="preserve">552,5</w:t>
            </w:r>
          </w:p>
        </w:tc>
        <w:tc>
          <w:tcPr>
            <w:tcW w:w="2378" w:type="dxa"/>
          </w:tcPr>
          <w:p>
            <w:pPr/>
            <w:r>
              <w:t xml:space="preserve">1.200,0</w:t>
            </w:r>
          </w:p>
        </w:tc>
      </w:tr>
      <w:tr>
        <w:tc>
          <w:tcPr>
            <w:tcW w:w="1231" w:type="dxa"/>
          </w:tcPr>
          <w:p>
            <w:pPr/>
            <w:r>
              <w:t xml:space="preserve">10</w:t>
            </w:r>
          </w:p>
        </w:tc>
        <w:tc>
          <w:tcPr>
            <w:tcW w:w="1895" w:type="dxa"/>
          </w:tcPr>
          <w:p>
            <w:pPr/>
            <w:r>
              <w:t xml:space="preserve">400,0</w:t>
            </w:r>
          </w:p>
        </w:tc>
        <w:tc>
          <w:tcPr>
            <w:tcW w:w="1621" w:type="dxa"/>
          </w:tcPr>
          <w:p>
            <w:pPr/>
            <w:r>
              <w:t xml:space="preserve">0</w:t>
            </w:r>
          </w:p>
        </w:tc>
        <w:tc>
          <w:tcPr>
            <w:tcW w:w="2232" w:type="dxa"/>
          </w:tcPr>
          <w:p>
            <w:pPr/>
            <w:r>
              <w:t xml:space="preserve">400,0</w:t>
            </w:r>
          </w:p>
        </w:tc>
        <w:tc>
          <w:tcPr>
            <w:tcW w:w="2378" w:type="dxa"/>
          </w:tcPr>
          <w:p>
            <w:pPr/>
            <w:r>
              <w:t xml:space="preserve">1.600,0</w:t>
            </w:r>
          </w:p>
        </w:tc>
      </w:tr>
    </w:tbl>
    <w:p>
      <w:pPr/>
      <w:r>
        <w:t xml:space="preserve">Sin anticipo: pago neto de cada acta = 95 % de su valor, recibido el mes siguiente.</w:t>
      </w:r>
    </w:p>
    <w:tbl>
      <w:tblPr>
        <w:tblStyle w:val="TableGrid"/>
        <w:tblW w:w="0" w:type="auto"/>
        <w:tblLayout w:type="fixed"/>
        <w:tblLook w:val="04A0" w:firstRow="1" w:lastRow="0" w:firstColumn="0" w:lastColumn="0" w:noHBand="0" w:noVBand="1"/>
      </w:tblPr>
      <w:tblGrid>
        <w:gridCol w:w="1231"/>
        <w:gridCol w:w="1895"/>
        <w:gridCol w:w="1621"/>
        <w:gridCol w:w="2232"/>
        <w:gridCol w:w="2378"/>
      </w:tblGrid>
      <w:tr>
        <w:trPr>
          <w:tblHeader/>
        </w:trPr>
        <w:tc>
          <w:tcPr>
            <w:tcW w:w="1231" w:type="dxa"/>
            <w:shd w:val="clear" w:color="auto" w:fill="F2F2F2"/>
          </w:tcPr>
          <w:p>
            <w:pPr/>
            <w:r>
              <w:t xml:space="preserve">Mes</w:t>
            </w:r>
          </w:p>
        </w:tc>
        <w:tc>
          <w:tcPr>
            <w:tcW w:w="1895" w:type="dxa"/>
            <w:shd w:val="clear" w:color="auto" w:fill="F2F2F2"/>
          </w:tcPr>
          <w:p>
            <w:pPr/>
            <w:r>
              <w:t xml:space="preserve">Ingresos</w:t>
            </w:r>
          </w:p>
        </w:tc>
        <w:tc>
          <w:tcPr>
            <w:tcW w:w="1621" w:type="dxa"/>
            <w:shd w:val="clear" w:color="auto" w:fill="F2F2F2"/>
          </w:tcPr>
          <w:p>
            <w:pPr/>
            <w:r>
              <w:t xml:space="preserve">Costos</w:t>
            </w:r>
          </w:p>
        </w:tc>
        <w:tc>
          <w:tcPr>
            <w:tcW w:w="2232" w:type="dxa"/>
            <w:shd w:val="clear" w:color="auto" w:fill="F2F2F2"/>
          </w:tcPr>
          <w:p>
            <w:pPr/>
            <w:r>
              <w:t xml:space="preserve">Flujo neto</w:t>
            </w:r>
          </w:p>
        </w:tc>
        <w:tc>
          <w:tcPr>
            <w:tcW w:w="2378" w:type="dxa"/>
            <w:shd w:val="clear" w:color="auto" w:fill="F2F2F2"/>
          </w:tcPr>
          <w:p>
            <w:pPr/>
            <w:r>
              <w:t xml:space="preserve">Acumulado</w:t>
            </w:r>
          </w:p>
        </w:tc>
      </w:tr>
      <w:tr>
        <w:tc>
          <w:tcPr>
            <w:tcW w:w="1231" w:type="dxa"/>
          </w:tcPr>
          <w:p>
            <w:pPr/>
            <w:r>
              <w:t xml:space="preserve">1</w:t>
            </w:r>
          </w:p>
        </w:tc>
        <w:tc>
          <w:tcPr>
            <w:tcW w:w="1895" w:type="dxa"/>
          </w:tcPr>
          <w:p>
            <w:pPr/>
            <w:r>
              <w:t xml:space="preserve">0</w:t>
            </w:r>
          </w:p>
        </w:tc>
        <w:tc>
          <w:tcPr>
            <w:tcW w:w="1621" w:type="dxa"/>
          </w:tcPr>
          <w:p>
            <w:pPr/>
            <w:r>
              <w:t xml:space="preserve">160</w:t>
            </w:r>
          </w:p>
        </w:tc>
        <w:tc>
          <w:tcPr>
            <w:tcW w:w="2232" w:type="dxa"/>
          </w:tcPr>
          <w:p>
            <w:pPr/>
            <w:r>
              <w:t xml:space="preserve">−160,0</w:t>
            </w:r>
          </w:p>
        </w:tc>
        <w:tc>
          <w:tcPr>
            <w:tcW w:w="2378" w:type="dxa"/>
          </w:tcPr>
          <w:p>
            <w:pPr/>
            <w:r>
              <w:t xml:space="preserve">−160,0</w:t>
            </w:r>
          </w:p>
        </w:tc>
      </w:tr>
      <w:tr>
        <w:tc>
          <w:tcPr>
            <w:tcW w:w="1231" w:type="dxa"/>
          </w:tcPr>
          <w:p>
            <w:pPr/>
            <w:r>
              <w:t xml:space="preserve">2</w:t>
            </w:r>
          </w:p>
        </w:tc>
        <w:tc>
          <w:tcPr>
            <w:tcW w:w="1895" w:type="dxa"/>
          </w:tcPr>
          <w:p>
            <w:pPr/>
            <w:r>
              <w:t xml:space="preserve">190,0</w:t>
            </w:r>
          </w:p>
        </w:tc>
        <w:tc>
          <w:tcPr>
            <w:tcW w:w="1621" w:type="dxa"/>
          </w:tcPr>
          <w:p>
            <w:pPr/>
            <w:r>
              <w:t xml:space="preserve">640</w:t>
            </w:r>
          </w:p>
        </w:tc>
        <w:tc>
          <w:tcPr>
            <w:tcW w:w="2232" w:type="dxa"/>
          </w:tcPr>
          <w:p>
            <w:pPr/>
            <w:r>
              <w:t xml:space="preserve">−450,0</w:t>
            </w:r>
          </w:p>
        </w:tc>
        <w:tc>
          <w:tcPr>
            <w:tcW w:w="2378" w:type="dxa"/>
          </w:tcPr>
          <w:p>
            <w:pPr/>
            <w:r>
              <w:t xml:space="preserve">−610,0</w:t>
            </w:r>
          </w:p>
        </w:tc>
      </w:tr>
      <w:tr>
        <w:tc>
          <w:tcPr>
            <w:tcW w:w="1231" w:type="dxa"/>
          </w:tcPr>
          <w:p>
            <w:pPr/>
            <w:r>
              <w:t xml:space="preserve">3</w:t>
            </w:r>
          </w:p>
        </w:tc>
        <w:tc>
          <w:tcPr>
            <w:tcW w:w="1895" w:type="dxa"/>
          </w:tcPr>
          <w:p>
            <w:pPr/>
            <w:r>
              <w:t xml:space="preserve">760,0</w:t>
            </w:r>
          </w:p>
        </w:tc>
        <w:tc>
          <w:tcPr>
            <w:tcW w:w="1621" w:type="dxa"/>
          </w:tcPr>
          <w:p>
            <w:pPr/>
            <w:r>
              <w:t xml:space="preserve">960</w:t>
            </w:r>
          </w:p>
        </w:tc>
        <w:tc>
          <w:tcPr>
            <w:tcW w:w="2232" w:type="dxa"/>
          </w:tcPr>
          <w:p>
            <w:pPr/>
            <w:r>
              <w:t xml:space="preserve">−200,0</w:t>
            </w:r>
          </w:p>
        </w:tc>
        <w:tc>
          <w:tcPr>
            <w:tcW w:w="2378" w:type="dxa"/>
          </w:tcPr>
          <w:p>
            <w:pPr/>
            <w:r>
              <w:t xml:space="preserve">−810,0</w:t>
            </w:r>
          </w:p>
        </w:tc>
      </w:tr>
      <w:tr>
        <w:tc>
          <w:tcPr>
            <w:tcW w:w="1231" w:type="dxa"/>
          </w:tcPr>
          <w:p>
            <w:pPr/>
            <w:r>
              <w:t xml:space="preserve">4</w:t>
            </w:r>
          </w:p>
        </w:tc>
        <w:tc>
          <w:tcPr>
            <w:tcW w:w="1895" w:type="dxa"/>
          </w:tcPr>
          <w:p>
            <w:pPr/>
            <w:r>
              <w:t xml:space="preserve">1.140,0</w:t>
            </w:r>
          </w:p>
        </w:tc>
        <w:tc>
          <w:tcPr>
            <w:tcW w:w="1621" w:type="dxa"/>
          </w:tcPr>
          <w:p>
            <w:pPr/>
            <w:r>
              <w:t xml:space="preserve">640</w:t>
            </w:r>
          </w:p>
        </w:tc>
        <w:tc>
          <w:tcPr>
            <w:tcW w:w="2232" w:type="dxa"/>
          </w:tcPr>
          <w:p>
            <w:pPr/>
            <w:r>
              <w:t xml:space="preserve">500,0</w:t>
            </w:r>
          </w:p>
        </w:tc>
        <w:tc>
          <w:tcPr>
            <w:tcW w:w="2378" w:type="dxa"/>
          </w:tcPr>
          <w:p>
            <w:pPr/>
            <w:r>
              <w:t xml:space="preserve">−310,0</w:t>
            </w:r>
          </w:p>
        </w:tc>
      </w:tr>
      <w:tr>
        <w:tc>
          <w:tcPr>
            <w:tcW w:w="1231" w:type="dxa"/>
          </w:tcPr>
          <w:p>
            <w:pPr/>
            <w:r>
              <w:t xml:space="preserve">5</w:t>
            </w:r>
          </w:p>
        </w:tc>
        <w:tc>
          <w:tcPr>
            <w:tcW w:w="1895" w:type="dxa"/>
          </w:tcPr>
          <w:p>
            <w:pPr/>
            <w:r>
              <w:t xml:space="preserve">760,0</w:t>
            </w:r>
          </w:p>
        </w:tc>
        <w:tc>
          <w:tcPr>
            <w:tcW w:w="1621" w:type="dxa"/>
          </w:tcPr>
          <w:p>
            <w:pPr/>
            <w:r>
              <w:t xml:space="preserve">960</w:t>
            </w:r>
          </w:p>
        </w:tc>
        <w:tc>
          <w:tcPr>
            <w:tcW w:w="2232" w:type="dxa"/>
          </w:tcPr>
          <w:p>
            <w:pPr/>
            <w:r>
              <w:t xml:space="preserve">−200,0</w:t>
            </w:r>
          </w:p>
        </w:tc>
        <w:tc>
          <w:tcPr>
            <w:tcW w:w="2378" w:type="dxa"/>
          </w:tcPr>
          <w:p>
            <w:pPr/>
            <w:r>
              <w:t xml:space="preserve">−510,0</w:t>
            </w:r>
          </w:p>
        </w:tc>
      </w:tr>
      <w:tr>
        <w:tc>
          <w:tcPr>
            <w:tcW w:w="1231" w:type="dxa"/>
          </w:tcPr>
          <w:p>
            <w:pPr/>
            <w:r>
              <w:t xml:space="preserve">6</w:t>
            </w:r>
          </w:p>
        </w:tc>
        <w:tc>
          <w:tcPr>
            <w:tcW w:w="1895" w:type="dxa"/>
          </w:tcPr>
          <w:p>
            <w:pPr/>
            <w:r>
              <w:t xml:space="preserve">1.140,0</w:t>
            </w:r>
          </w:p>
        </w:tc>
        <w:tc>
          <w:tcPr>
            <w:tcW w:w="1621" w:type="dxa"/>
          </w:tcPr>
          <w:p>
            <w:pPr/>
            <w:r>
              <w:t xml:space="preserve">1.360</w:t>
            </w:r>
          </w:p>
        </w:tc>
        <w:tc>
          <w:tcPr>
            <w:tcW w:w="2232" w:type="dxa"/>
          </w:tcPr>
          <w:p>
            <w:pPr/>
            <w:r>
              <w:t xml:space="preserve">−220,0</w:t>
            </w:r>
          </w:p>
        </w:tc>
        <w:tc>
          <w:tcPr>
            <w:tcW w:w="2378" w:type="dxa"/>
          </w:tcPr>
          <w:p>
            <w:pPr/>
            <w:r>
              <w:t xml:space="preserve">−730,0</w:t>
            </w:r>
          </w:p>
        </w:tc>
      </w:tr>
      <w:tr>
        <w:tc>
          <w:tcPr>
            <w:tcW w:w="1231" w:type="dxa"/>
          </w:tcPr>
          <w:p>
            <w:pPr/>
            <w:r>
              <w:t xml:space="preserve">7</w:t>
            </w:r>
          </w:p>
        </w:tc>
        <w:tc>
          <w:tcPr>
            <w:tcW w:w="1895" w:type="dxa"/>
          </w:tcPr>
          <w:p>
            <w:pPr/>
            <w:r>
              <w:t xml:space="preserve">1.615,0</w:t>
            </w:r>
          </w:p>
        </w:tc>
        <w:tc>
          <w:tcPr>
            <w:tcW w:w="1621" w:type="dxa"/>
          </w:tcPr>
          <w:p>
            <w:pPr/>
            <w:r>
              <w:t xml:space="preserve">1.000</w:t>
            </w:r>
          </w:p>
        </w:tc>
        <w:tc>
          <w:tcPr>
            <w:tcW w:w="2232" w:type="dxa"/>
          </w:tcPr>
          <w:p>
            <w:pPr/>
            <w:r>
              <w:t xml:space="preserve">615,0</w:t>
            </w:r>
          </w:p>
        </w:tc>
        <w:tc>
          <w:tcPr>
            <w:tcW w:w="2378" w:type="dxa"/>
          </w:tcPr>
          <w:p>
            <w:pPr/>
            <w:r>
              <w:t xml:space="preserve">−115,0</w:t>
            </w:r>
          </w:p>
        </w:tc>
      </w:tr>
      <w:tr>
        <w:tc>
          <w:tcPr>
            <w:tcW w:w="1231" w:type="dxa"/>
          </w:tcPr>
          <w:p>
            <w:pPr/>
            <w:r>
              <w:t xml:space="preserve">8</w:t>
            </w:r>
          </w:p>
        </w:tc>
        <w:tc>
          <w:tcPr>
            <w:tcW w:w="1895" w:type="dxa"/>
          </w:tcPr>
          <w:p>
            <w:pPr/>
            <w:r>
              <w:t xml:space="preserve">1.187,5</w:t>
            </w:r>
          </w:p>
        </w:tc>
        <w:tc>
          <w:tcPr>
            <w:tcW w:w="1621" w:type="dxa"/>
          </w:tcPr>
          <w:p>
            <w:pPr/>
            <w:r>
              <w:t xml:space="preserve">680</w:t>
            </w:r>
          </w:p>
        </w:tc>
        <w:tc>
          <w:tcPr>
            <w:tcW w:w="2232" w:type="dxa"/>
          </w:tcPr>
          <w:p>
            <w:pPr/>
            <w:r>
              <w:t xml:space="preserve">507,5</w:t>
            </w:r>
          </w:p>
        </w:tc>
        <w:tc>
          <w:tcPr>
            <w:tcW w:w="2378" w:type="dxa"/>
          </w:tcPr>
          <w:p>
            <w:pPr/>
            <w:r>
              <w:t xml:space="preserve">392,5</w:t>
            </w:r>
          </w:p>
        </w:tc>
      </w:tr>
      <w:tr>
        <w:tc>
          <w:tcPr>
            <w:tcW w:w="1231" w:type="dxa"/>
          </w:tcPr>
          <w:p>
            <w:pPr/>
            <w:r>
              <w:t xml:space="preserve">9</w:t>
            </w:r>
          </w:p>
        </w:tc>
        <w:tc>
          <w:tcPr>
            <w:tcW w:w="1895" w:type="dxa"/>
          </w:tcPr>
          <w:p>
            <w:pPr/>
            <w:r>
              <w:t xml:space="preserve">807,5</w:t>
            </w:r>
          </w:p>
        </w:tc>
        <w:tc>
          <w:tcPr>
            <w:tcW w:w="1621" w:type="dxa"/>
          </w:tcPr>
          <w:p>
            <w:pPr/>
            <w:r>
              <w:t xml:space="preserve">0</w:t>
            </w:r>
          </w:p>
        </w:tc>
        <w:tc>
          <w:tcPr>
            <w:tcW w:w="2232" w:type="dxa"/>
          </w:tcPr>
          <w:p>
            <w:pPr/>
            <w:r>
              <w:t xml:space="preserve">807,5</w:t>
            </w:r>
          </w:p>
        </w:tc>
        <w:tc>
          <w:tcPr>
            <w:tcW w:w="2378" w:type="dxa"/>
          </w:tcPr>
          <w:p>
            <w:pPr/>
            <w:r>
              <w:t xml:space="preserve">1.200,0</w:t>
            </w:r>
          </w:p>
        </w:tc>
      </w:tr>
      <w:tr>
        <w:tc>
          <w:tcPr>
            <w:tcW w:w="1231" w:type="dxa"/>
          </w:tcPr>
          <w:p>
            <w:pPr/>
            <w:r>
              <w:t xml:space="preserve">10</w:t>
            </w:r>
          </w:p>
        </w:tc>
        <w:tc>
          <w:tcPr>
            <w:tcW w:w="1895" w:type="dxa"/>
          </w:tcPr>
          <w:p>
            <w:pPr/>
            <w:r>
              <w:t xml:space="preserve">400,0</w:t>
            </w:r>
          </w:p>
        </w:tc>
        <w:tc>
          <w:tcPr>
            <w:tcW w:w="1621" w:type="dxa"/>
          </w:tcPr>
          <w:p>
            <w:pPr/>
            <w:r>
              <w:t xml:space="preserve">0</w:t>
            </w:r>
          </w:p>
        </w:tc>
        <w:tc>
          <w:tcPr>
            <w:tcW w:w="2232" w:type="dxa"/>
          </w:tcPr>
          <w:p>
            <w:pPr/>
            <w:r>
              <w:t xml:space="preserve">400,0</w:t>
            </w:r>
          </w:p>
        </w:tc>
        <w:tc>
          <w:tcPr>
            <w:tcW w:w="2378" w:type="dxa"/>
          </w:tcPr>
          <w:p>
            <w:pPr/>
            <w:r>
              <w:t xml:space="preserve">1.600,0</w:t>
            </w:r>
          </w:p>
        </w:tc>
      </w:tr>
    </w:tbl>
    <w:p>
      <w:pPr>
        <w:pStyle w:val="ListParagraph"/>
        <w:numPr>
          <w:ilvl w:val="0"/>
          <w:numId w:val="53"/>
        </w:numPr>
      </w:pPr>
      <w:r>
        <w:t xml:space="preserve">Con anticipo, el acumulado nunca es negativo: el mínimo es $410 millones en el mes 6. El contratista no necesita capital propio.</w:t>
      </w:r>
    </w:p>
    <w:p>
      <w:pPr>
        <w:pStyle w:val="ListParagraph"/>
        <w:numPr>
          <w:ilvl w:val="0"/>
          <w:numId w:val="53"/>
        </w:numPr>
      </w:pPr>
      <w:r>
        <w:t xml:space="preserve">Sin anticipo, la máxima necesidad de capital de trabajo es $810 millones en el mes 3.</w:t>
      </w:r>
    </w:p>
    <w:p>
      <w:pPr>
        <w:pStyle w:val="ListParagraph"/>
        <w:numPr>
          <w:ilvl w:val="0"/>
          <w:numId w:val="53"/>
        </w:numPr>
      </w:pPr>
      <w:r>
        <w:t xml:space="preserve">En ambos escenarios el resultado final es $1.600 millones (8.000 − 6.400). El anticipo cambia el momento de la caja, no la utilidad.</w:t>
      </w:r>
    </w:p>
    <w:p>
      <w:pPr>
        <w:pStyle w:val="ListParagraph"/>
        <w:numPr>
          <w:ilvl w:val="0"/>
          <w:numId w:val="53"/>
        </w:numPr>
      </w:pPr>
      <w:r>
        <w:t xml:space="preserve">Control: el interventor verifica las sumas de los pagos (7.600 en actas y anticipo, más 400 de retención = 8.000) y que la amortización total sea igual al anticipo (30 % × 8.000 = 2.400).</w:t>
      </w:r>
    </w:p>
    <w:p>
      <w:pPr/>
      <w:r>
        <w:t xml:space="preserve">Puntaje: 3 por el flujo con anticipo, 1 por el flujo sin anticipo, 1 por la comparación e interpretación.</w:t>
      </w:r>
    </w:p>
    <w:p>
      <w:pPr/>
      <w:r>
        <w:rPr>
          <w:b/>
        </w:rPr>
        <w:t xml:space="preserve">5. Amortización al mes 5</w:t>
      </w:r>
      <w:r>
        <w:t xml:space="preserve"> (sobre actas aprobadas hasta el mes 5)</w:t>
      </w:r>
    </w:p>
    <w:p>
      <w:pPr>
        <w:pStyle w:val="ListParagraph"/>
        <w:numPr>
          <w:ilvl w:val="0"/>
          <w:numId w:val="54"/>
        </w:numPr>
      </w:pPr>
      <w:r>
        <w:t xml:space="preserve">Amortizado según lo ejecutado: 30 % × 3.400 = $1.020 millones. Falta por amortizar: $1.380 millones.</w:t>
      </w:r>
    </w:p>
    <w:p>
      <w:pPr>
        <w:pStyle w:val="ListParagraph"/>
        <w:numPr>
          <w:ilvl w:val="0"/>
          <w:numId w:val="54"/>
        </w:numPr>
      </w:pPr>
      <w:r>
        <w:t xml:space="preserve">Amortizado según el programa: 30 % × 4.200 = $1.260 millones. Faltaría: $1.140 millones.</w:t>
      </w:r>
    </w:p>
    <w:p>
      <w:pPr>
        <w:pStyle w:val="ListParagraph"/>
        <w:numPr>
          <w:ilvl w:val="0"/>
          <w:numId w:val="54"/>
        </w:numPr>
      </w:pPr>
      <w:r>
        <w:t xml:space="preserve">Hay $240 millones más de anticipo sin amortizar que lo previsto. Si el contratista incumple, aumenta la exposición de la entidad y la posible reclamación a la aseguradora.</w:t>
      </w:r>
    </w:p>
    <w:p>
      <w:pPr>
        <w:pStyle w:val="ListParagraph"/>
        <w:numPr>
          <w:ilvl w:val="0"/>
          <w:numId w:val="54"/>
        </w:numPr>
      </w:pPr>
      <w:r>
        <w:t xml:space="preserve">El interventor controla el plan de inversión del anticipo, autoriza los giros de la fiducia solo para conceptos de ese plan, revisa los extractos mensuales, verifica que los bienes comprados estén en obra y que los rendimientos se reintegren a la entidad.</w:t>
      </w:r>
    </w:p>
    <w:p>
      <w:pPr/>
      <w:r>
        <w:t xml:space="preserve">Si el estudiante calcula la amortización sobre actas ya pagadas (meses 1 a 4: 30 % × 2.500 = $750 millones), la respuesta es válida si explica el criterio.</w:t>
      </w:r>
    </w:p>
    <w:p>
      <w:pPr>
        <w:pStyle w:val="Heading3"/>
      </w:pPr>
      <w:r>
        <w:t xml:space="preserve">Clave del caso integrador 3. Vía terciaria</w:t>
      </w:r>
    </w:p>
    <w:p>
      <w:pPr/>
      <w:r>
        <w:t xml:space="preserve">La obra termina el 30 de abril de 2027 y quedan $1.350 millones comprometidos en 2026 sin ejecutar, que deben pasar a 2027 como reserva presupuestal.</w:t>
      </w:r>
    </w:p>
    <w:p>
      <w:pPr/>
      <w:r>
        <w:rPr>
          <w:b/>
        </w:rPr>
        <w:t xml:space="preserve">1. Curvas S</w:t>
      </w:r>
      <w:r>
        <w:t xml:space="preserve"> (porcentaje acumulado sobre $3.000 millones)</w:t>
      </w:r>
    </w:p>
    <w:tbl>
      <w:tblPr>
        <w:tblStyle w:val="TableGrid"/>
        <w:tblW w:w="0" w:type="auto"/>
        <w:tblLayout w:type="fixed"/>
        <w:tblLook w:val="04A0" w:firstRow="1" w:lastRow="0" w:firstColumn="0" w:lastColumn="0" w:noHBand="0" w:noVBand="1"/>
      </w:tblPr>
      <w:tblGrid>
        <w:gridCol w:w="1784"/>
        <w:gridCol w:w="951"/>
        <w:gridCol w:w="909"/>
        <w:gridCol w:w="951"/>
        <w:gridCol w:w="909"/>
        <w:gridCol w:w="951"/>
        <w:gridCol w:w="951"/>
        <w:gridCol w:w="999"/>
        <w:gridCol w:w="951"/>
      </w:tblGrid>
      <w:tr>
        <w:trPr>
          <w:tblHeader/>
        </w:trPr>
        <w:tc>
          <w:tcPr>
            <w:tcW w:w="1784" w:type="dxa"/>
            <w:shd w:val="clear" w:color="auto" w:fill="F2F2F2"/>
          </w:tcPr>
          <w:p>
            <w:pPr/>
            <w:r>
              <w:t xml:space="preserve">Mes</w:t>
            </w:r>
          </w:p>
        </w:tc>
        <w:tc>
          <w:tcPr>
            <w:tcW w:w="951" w:type="dxa"/>
            <w:shd w:val="clear" w:color="auto" w:fill="F2F2F2"/>
          </w:tcPr>
          <w:p>
            <w:pPr/>
            <w:r>
              <w:t xml:space="preserve">sep-26</w:t>
            </w:r>
          </w:p>
        </w:tc>
        <w:tc>
          <w:tcPr>
            <w:tcW w:w="909" w:type="dxa"/>
            <w:shd w:val="clear" w:color="auto" w:fill="F2F2F2"/>
          </w:tcPr>
          <w:p>
            <w:pPr/>
            <w:r>
              <w:t xml:space="preserve">oct-26</w:t>
            </w:r>
          </w:p>
        </w:tc>
        <w:tc>
          <w:tcPr>
            <w:tcW w:w="951" w:type="dxa"/>
            <w:shd w:val="clear" w:color="auto" w:fill="F2F2F2"/>
          </w:tcPr>
          <w:p>
            <w:pPr/>
            <w:r>
              <w:t xml:space="preserve">nov-26</w:t>
            </w:r>
          </w:p>
        </w:tc>
        <w:tc>
          <w:tcPr>
            <w:tcW w:w="909" w:type="dxa"/>
            <w:shd w:val="clear" w:color="auto" w:fill="F2F2F2"/>
          </w:tcPr>
          <w:p>
            <w:pPr/>
            <w:r>
              <w:t xml:space="preserve">dic-26</w:t>
            </w:r>
          </w:p>
        </w:tc>
        <w:tc>
          <w:tcPr>
            <w:tcW w:w="951" w:type="dxa"/>
            <w:shd w:val="clear" w:color="auto" w:fill="F2F2F2"/>
          </w:tcPr>
          <w:p>
            <w:pPr/>
            <w:r>
              <w:t xml:space="preserve">ene-27</w:t>
            </w:r>
          </w:p>
        </w:tc>
        <w:tc>
          <w:tcPr>
            <w:tcW w:w="951" w:type="dxa"/>
            <w:shd w:val="clear" w:color="auto" w:fill="F2F2F2"/>
          </w:tcPr>
          <w:p>
            <w:pPr/>
            <w:r>
              <w:t xml:space="preserve">feb-27</w:t>
            </w:r>
          </w:p>
        </w:tc>
        <w:tc>
          <w:tcPr>
            <w:tcW w:w="999" w:type="dxa"/>
            <w:shd w:val="clear" w:color="auto" w:fill="F2F2F2"/>
          </w:tcPr>
          <w:p>
            <w:pPr/>
            <w:r>
              <w:t xml:space="preserve">mar-27</w:t>
            </w:r>
          </w:p>
        </w:tc>
        <w:tc>
          <w:tcPr>
            <w:tcW w:w="951" w:type="dxa"/>
            <w:shd w:val="clear" w:color="auto" w:fill="F2F2F2"/>
          </w:tcPr>
          <w:p>
            <w:pPr/>
            <w:r>
              <w:t xml:space="preserve">abr-27</w:t>
            </w:r>
          </w:p>
        </w:tc>
      </w:tr>
      <w:tr>
        <w:tc>
          <w:tcPr>
            <w:tcW w:w="1784" w:type="dxa"/>
          </w:tcPr>
          <w:p>
            <w:pPr/>
            <w:r>
              <w:t xml:space="preserve">Original</w:t>
            </w:r>
          </w:p>
        </w:tc>
        <w:tc>
          <w:tcPr>
            <w:tcW w:w="951" w:type="dxa"/>
          </w:tcPr>
          <w:p>
            <w:pPr/>
            <w:r>
              <w:t xml:space="preserve">10,00</w:t>
            </w:r>
          </w:p>
        </w:tc>
        <w:tc>
          <w:tcPr>
            <w:tcW w:w="909" w:type="dxa"/>
          </w:tcPr>
          <w:p>
            <w:pPr/>
            <w:r>
              <w:t xml:space="preserve">25,00</w:t>
            </w:r>
          </w:p>
        </w:tc>
        <w:tc>
          <w:tcPr>
            <w:tcW w:w="951" w:type="dxa"/>
          </w:tcPr>
          <w:p>
            <w:pPr/>
            <w:r>
              <w:t xml:space="preserve">45,00</w:t>
            </w:r>
          </w:p>
        </w:tc>
        <w:tc>
          <w:tcPr>
            <w:tcW w:w="909" w:type="dxa"/>
          </w:tcPr>
          <w:p>
            <w:pPr/>
            <w:r>
              <w:t xml:space="preserve">65,00</w:t>
            </w:r>
          </w:p>
        </w:tc>
        <w:tc>
          <w:tcPr>
            <w:tcW w:w="951" w:type="dxa"/>
          </w:tcPr>
          <w:p>
            <w:pPr/>
            <w:r>
              <w:t xml:space="preserve">85,00</w:t>
            </w:r>
          </w:p>
        </w:tc>
        <w:tc>
          <w:tcPr>
            <w:tcW w:w="951" w:type="dxa"/>
          </w:tcPr>
          <w:p>
            <w:pPr/>
            <w:r>
              <w:t xml:space="preserve">100,00</w:t>
            </w:r>
          </w:p>
        </w:tc>
        <w:tc>
          <w:tcPr>
            <w:tcW w:w="999" w:type="dxa"/>
          </w:tcPr>
          <w:p>
            <w:pPr/>
          </w:p>
        </w:tc>
        <w:tc>
          <w:tcPr>
            <w:tcW w:w="951" w:type="dxa"/>
          </w:tcPr>
          <w:p>
            <w:pPr/>
          </w:p>
        </w:tc>
      </w:tr>
      <w:tr>
        <w:tc>
          <w:tcPr>
            <w:tcW w:w="1784" w:type="dxa"/>
          </w:tcPr>
          <w:p>
            <w:pPr/>
            <w:r>
              <w:t xml:space="preserve">Ejecutada</w:t>
            </w:r>
          </w:p>
        </w:tc>
        <w:tc>
          <w:tcPr>
            <w:tcW w:w="951" w:type="dxa"/>
          </w:tcPr>
          <w:p>
            <w:pPr/>
            <w:r>
              <w:t xml:space="preserve">8,33</w:t>
            </w:r>
          </w:p>
        </w:tc>
        <w:tc>
          <w:tcPr>
            <w:tcW w:w="909" w:type="dxa"/>
          </w:tcPr>
          <w:p>
            <w:pPr/>
            <w:r>
              <w:t xml:space="preserve">20,00</w:t>
            </w:r>
          </w:p>
        </w:tc>
        <w:tc>
          <w:tcPr>
            <w:tcW w:w="951" w:type="dxa"/>
          </w:tcPr>
          <w:p>
            <w:pPr/>
          </w:p>
        </w:tc>
        <w:tc>
          <w:tcPr>
            <w:tcW w:w="909" w:type="dxa"/>
          </w:tcPr>
          <w:p>
            <w:pPr/>
          </w:p>
        </w:tc>
        <w:tc>
          <w:tcPr>
            <w:tcW w:w="951" w:type="dxa"/>
          </w:tcPr>
          <w:p>
            <w:pPr/>
          </w:p>
        </w:tc>
        <w:tc>
          <w:tcPr>
            <w:tcW w:w="951" w:type="dxa"/>
          </w:tcPr>
          <w:p>
            <w:pPr/>
          </w:p>
        </w:tc>
        <w:tc>
          <w:tcPr>
            <w:tcW w:w="999" w:type="dxa"/>
          </w:tcPr>
          <w:p>
            <w:pPr/>
          </w:p>
        </w:tc>
        <w:tc>
          <w:tcPr>
            <w:tcW w:w="951" w:type="dxa"/>
          </w:tcPr>
          <w:p>
            <w:pPr/>
          </w:p>
        </w:tc>
      </w:tr>
      <w:tr>
        <w:tc>
          <w:tcPr>
            <w:tcW w:w="1784" w:type="dxa"/>
          </w:tcPr>
          <w:p>
            <w:pPr/>
            <w:r>
              <w:t xml:space="preserve">Reprogramada</w:t>
            </w:r>
          </w:p>
        </w:tc>
        <w:tc>
          <w:tcPr>
            <w:tcW w:w="951" w:type="dxa"/>
          </w:tcPr>
          <w:p>
            <w:pPr/>
            <w:r>
              <w:t xml:space="preserve">8,33</w:t>
            </w:r>
          </w:p>
        </w:tc>
        <w:tc>
          <w:tcPr>
            <w:tcW w:w="909" w:type="dxa"/>
          </w:tcPr>
          <w:p>
            <w:pPr/>
            <w:r>
              <w:t xml:space="preserve">20,00</w:t>
            </w:r>
          </w:p>
        </w:tc>
        <w:tc>
          <w:tcPr>
            <w:tcW w:w="951" w:type="dxa"/>
          </w:tcPr>
          <w:p>
            <w:pPr/>
            <w:r>
              <w:t xml:space="preserve">20,00</w:t>
            </w:r>
          </w:p>
        </w:tc>
        <w:tc>
          <w:tcPr>
            <w:tcW w:w="909" w:type="dxa"/>
          </w:tcPr>
          <w:p>
            <w:pPr/>
            <w:r>
              <w:t xml:space="preserve">20,00</w:t>
            </w:r>
          </w:p>
        </w:tc>
        <w:tc>
          <w:tcPr>
            <w:tcW w:w="951" w:type="dxa"/>
          </w:tcPr>
          <w:p>
            <w:pPr/>
            <w:r>
              <w:t xml:space="preserve">40,00</w:t>
            </w:r>
          </w:p>
        </w:tc>
        <w:tc>
          <w:tcPr>
            <w:tcW w:w="951" w:type="dxa"/>
          </w:tcPr>
          <w:p>
            <w:pPr/>
            <w:r>
              <w:t xml:space="preserve">61,67</w:t>
            </w:r>
          </w:p>
        </w:tc>
        <w:tc>
          <w:tcPr>
            <w:tcW w:w="999" w:type="dxa"/>
          </w:tcPr>
          <w:p>
            <w:pPr/>
            <w:r>
              <w:t xml:space="preserve">83,33</w:t>
            </w:r>
          </w:p>
        </w:tc>
        <w:tc>
          <w:tcPr>
            <w:tcW w:w="951" w:type="dxa"/>
          </w:tcPr>
          <w:p>
            <w:pPr/>
            <w:r>
              <w:t xml:space="preserve">100,00</w:t>
            </w:r>
          </w:p>
        </w:tc>
      </w:tr>
    </w:tbl>
    <w:p>
      <w:pPr>
        <w:pStyle w:val="ListParagraph"/>
        <w:numPr>
          <w:ilvl w:val="0"/>
          <w:numId w:val="55"/>
        </w:numPr>
      </w:pPr>
      <w:r>
        <w:t xml:space="preserve">Desviación en octubre: 25,00 − 20,00 = 5,00 puntos porcentuales; SPI = 600 / 750 = 0,80.</w:t>
      </w:r>
    </w:p>
    <w:p>
      <w:pPr>
        <w:pStyle w:val="ListParagraph"/>
        <w:numPr>
          <w:ilvl w:val="0"/>
          <w:numId w:val="55"/>
        </w:numPr>
      </w:pPr>
      <w:r>
        <w:t xml:space="preserve">La curva reprogramada queda plana durante la suspensión (noviembre y diciembre).</w:t>
      </w:r>
    </w:p>
    <w:p>
      <w:pPr>
        <w:pStyle w:val="ListParagraph"/>
        <w:numPr>
          <w:ilvl w:val="0"/>
          <w:numId w:val="55"/>
        </w:numPr>
      </w:pPr>
      <w:r>
        <w:t xml:space="preserve">Nueva fecha de terminación: 28 de febrero de 2027 más 2 meses suspendidos = 30 de abril de 2027.</w:t>
      </w:r>
    </w:p>
    <w:p>
      <w:pPr>
        <w:pStyle w:val="ListParagraph"/>
        <w:numPr>
          <w:ilvl w:val="0"/>
          <w:numId w:val="55"/>
        </w:numPr>
      </w:pPr>
      <w:r>
        <w:t xml:space="preserve">Puntaje: 2 por las tres curvas bien dibujadas, 1 por la desviación, 1 por la nueva fecha.</w:t>
      </w:r>
    </w:p>
    <w:p>
      <w:pPr/>
      <w:r>
        <w:rPr>
          <w:b/>
        </w:rPr>
        <w:t xml:space="preserve">2. Pagos por vigencia ($ millones)</w:t>
      </w:r>
    </w:p>
    <w:tbl>
      <w:tblPr>
        <w:tblStyle w:val="TableGrid"/>
        <w:tblW w:w="0" w:type="auto"/>
        <w:tblLayout w:type="fixed"/>
        <w:tblLook w:val="04A0" w:firstRow="1" w:lastRow="0" w:firstColumn="0" w:lastColumn="0" w:noHBand="0" w:noVBand="1"/>
      </w:tblPr>
      <w:tblGrid>
        <w:gridCol w:w="2806"/>
        <w:gridCol w:w="2520"/>
        <w:gridCol w:w="3242"/>
        <w:gridCol w:w="791"/>
      </w:tblGrid>
      <w:tr>
        <w:trPr>
          <w:tblHeader/>
        </w:trPr>
        <w:tc>
          <w:tcPr>
            <w:tcW w:w="2806" w:type="dxa"/>
            <w:shd w:val="clear" w:color="auto" w:fill="F2F2F2"/>
          </w:tcPr>
          <w:p>
            <w:pPr/>
            <w:r>
              <w:t xml:space="preserve">Escenario</w:t>
            </w:r>
          </w:p>
        </w:tc>
        <w:tc>
          <w:tcPr>
            <w:tcW w:w="2520" w:type="dxa"/>
            <w:shd w:val="clear" w:color="auto" w:fill="F2F2F2"/>
          </w:tcPr>
          <w:p>
            <w:pPr/>
            <w:r>
              <w:t xml:space="preserve">Pagos en 2026</w:t>
            </w:r>
          </w:p>
        </w:tc>
        <w:tc>
          <w:tcPr>
            <w:tcW w:w="3242" w:type="dxa"/>
            <w:shd w:val="clear" w:color="auto" w:fill="F2F2F2"/>
          </w:tcPr>
          <w:p>
            <w:pPr/>
            <w:r>
              <w:t xml:space="preserve">Pagos en 2027</w:t>
            </w:r>
          </w:p>
        </w:tc>
        <w:tc>
          <w:tcPr>
            <w:tcW w:w="791" w:type="dxa"/>
            <w:shd w:val="clear" w:color="auto" w:fill="F2F2F2"/>
          </w:tcPr>
          <w:p>
            <w:pPr/>
            <w:r>
              <w:t xml:space="preserve">Total</w:t>
            </w:r>
          </w:p>
        </w:tc>
      </w:tr>
      <w:tr>
        <w:tc>
          <w:tcPr>
            <w:tcW w:w="2806" w:type="dxa"/>
          </w:tcPr>
          <w:p>
            <w:pPr/>
            <w:r>
              <w:t xml:space="preserve">Programa original (actas pagadas el mes siguiente)</w:t>
            </w:r>
          </w:p>
        </w:tc>
        <w:tc>
          <w:tcPr>
            <w:tcW w:w="2520" w:type="dxa"/>
          </w:tcPr>
          <w:p>
            <w:pPr/>
            <w:r>
              <w:t xml:space="preserve">1.350 (oct 300, nov 450, dic 600)</w:t>
            </w:r>
          </w:p>
        </w:tc>
        <w:tc>
          <w:tcPr>
            <w:tcW w:w="3242" w:type="dxa"/>
          </w:tcPr>
          <w:p>
            <w:pPr/>
            <w:r>
              <w:t xml:space="preserve">1.650 (ene 600, feb 600, mar 450)</w:t>
            </w:r>
          </w:p>
        </w:tc>
        <w:tc>
          <w:tcPr>
            <w:tcW w:w="791" w:type="dxa"/>
          </w:tcPr>
          <w:p>
            <w:pPr/>
            <w:r>
              <w:t xml:space="preserve">3.000</w:t>
            </w:r>
          </w:p>
        </w:tc>
      </w:tr>
      <w:tr>
        <w:tc>
          <w:tcPr>
            <w:tcW w:w="2806" w:type="dxa"/>
          </w:tcPr>
          <w:p>
            <w:pPr/>
            <w:r>
              <w:t xml:space="preserve">Reprogramación</w:t>
            </w:r>
          </w:p>
        </w:tc>
        <w:tc>
          <w:tcPr>
            <w:tcW w:w="2520" w:type="dxa"/>
          </w:tcPr>
          <w:p>
            <w:pPr/>
            <w:r>
              <w:t xml:space="preserve">600 (oct 250, nov 350)</w:t>
            </w:r>
          </w:p>
        </w:tc>
        <w:tc>
          <w:tcPr>
            <w:tcW w:w="3242" w:type="dxa"/>
          </w:tcPr>
          <w:p>
            <w:pPr/>
            <w:r>
              <w:t xml:space="preserve">2.400 (feb 600, mar 650, abr 650, may 500)</w:t>
            </w:r>
          </w:p>
        </w:tc>
        <w:tc>
          <w:tcPr>
            <w:tcW w:w="791" w:type="dxa"/>
          </w:tcPr>
          <w:p>
            <w:pPr/>
            <w:r>
              <w:t xml:space="preserve">3.000</w:t>
            </w:r>
          </w:p>
        </w:tc>
      </w:tr>
    </w:tbl>
    <w:p>
      <w:pPr>
        <w:pStyle w:val="ListParagraph"/>
        <w:numPr>
          <w:ilvl w:val="0"/>
          <w:numId w:val="56"/>
        </w:numPr>
      </w:pPr>
      <w:r>
        <w:t xml:space="preserve">De los $1.950 millones comprometidos en 2026 solo se ejecutan $600 millones. Quedan $1.350 millones sin ejecutar.</w:t>
      </w:r>
    </w:p>
    <w:p>
      <w:pPr>
        <w:pStyle w:val="ListParagraph"/>
        <w:numPr>
          <w:ilvl w:val="0"/>
          <w:numId w:val="56"/>
        </w:numPr>
      </w:pPr>
      <w:r>
        <w:t xml:space="preserve">En 2027 se necesitan $2.400 millones: $1.050 de vigencia futura más $1.350 de una reserva presupuestal constituida al cierre de 2026 sobre el compromiso vigente. Si la entidad prefiere no constituir reserva, debe tramitar el ajuste de la vigencia futura ante la instancia que la aprobó.</w:t>
      </w:r>
    </w:p>
    <w:p>
      <w:pPr>
        <w:pStyle w:val="ListParagraph"/>
        <w:numPr>
          <w:ilvl w:val="0"/>
          <w:numId w:val="56"/>
        </w:numPr>
      </w:pPr>
      <w:r>
        <w:t xml:space="preserve">Incluso con el programa original, el acta de diciembre se pagaba en enero: el interventor debió advertir desde el inicio el desfase entre ejecución y pagos por vigencia.</w:t>
      </w:r>
    </w:p>
    <w:p>
      <w:pPr>
        <w:pStyle w:val="ListParagraph"/>
        <w:numPr>
          <w:ilvl w:val="0"/>
          <w:numId w:val="56"/>
        </w:numPr>
      </w:pPr>
      <w:r>
        <w:t xml:space="preserve">El interventor informa la reprogramación y el nuevo flujo de pagos en cuanto se suspende el contrato y, en todo caso, con tiempo para que la entidad constituya la reserva antes del cierre presupuestal del 31 de diciembre de 2026. Debe advertir que la reserva solo puede ejecutarse durante 2027.</w:t>
      </w:r>
    </w:p>
    <w:p>
      <w:pPr>
        <w:pStyle w:val="ListParagraph"/>
        <w:numPr>
          <w:ilvl w:val="0"/>
          <w:numId w:val="56"/>
        </w:numPr>
      </w:pPr>
      <w:r>
        <w:t xml:space="preserve">Puntaje: 2 por el cuadro, 1 por el mecanismo presupuestal, 1 por la oportunidad del informe.</w:t>
      </w:r>
    </w:p>
    <w:p>
      <w:pPr/>
      <w:r>
        <w:rPr>
          <w:b/>
        </w:rPr>
        <w:t xml:space="preserve">3. Suspensión y reinicio</w:t>
      </w:r>
    </w:p>
    <w:p>
      <w:pPr>
        <w:pStyle w:val="ListParagraph"/>
        <w:numPr>
          <w:ilvl w:val="0"/>
          <w:numId w:val="57"/>
        </w:numPr>
      </w:pPr>
      <w:r>
        <w:t xml:space="preserve">Acta de suspensión firmada por el ordenador del gasto, el contratista y el interventor, con la causa y sus soportes: declaratoria de calamidad, registros del IDEAM, informe técnico y fotografías.</w:t>
      </w:r>
    </w:p>
    <w:p>
      <w:pPr>
        <w:pStyle w:val="ListParagraph"/>
        <w:numPr>
          <w:ilvl w:val="0"/>
          <w:numId w:val="57"/>
        </w:numPr>
      </w:pPr>
      <w:r>
        <w:t xml:space="preserve">Estado de la obra al suspender: avance, balance de cantidades, inventario de materiales y equipos, y medidas de protección, señalización y vigilancia, con su responsable.</w:t>
      </w:r>
    </w:p>
    <w:p>
      <w:pPr>
        <w:pStyle w:val="ListParagraph"/>
        <w:numPr>
          <w:ilvl w:val="0"/>
          <w:numId w:val="57"/>
        </w:numPr>
      </w:pPr>
      <w:r>
        <w:t xml:space="preserve">Fecha prevista o condición de reinicio.</w:t>
      </w:r>
    </w:p>
    <w:p>
      <w:pPr>
        <w:pStyle w:val="ListParagraph"/>
        <w:numPr>
          <w:ilvl w:val="0"/>
          <w:numId w:val="57"/>
        </w:numPr>
      </w:pPr>
      <w:r>
        <w:t xml:space="preserve">Modificación de las garantías para cubrir el tiempo suspendido, aprobada por la entidad.</w:t>
      </w:r>
    </w:p>
    <w:p>
      <w:pPr>
        <w:pStyle w:val="ListParagraph"/>
        <w:numPr>
          <w:ilvl w:val="0"/>
          <w:numId w:val="57"/>
        </w:numPr>
      </w:pPr>
      <w:r>
        <w:t xml:space="preserve">Publicación del acta en el SECOP.</w:t>
      </w:r>
    </w:p>
    <w:p>
      <w:pPr>
        <w:pStyle w:val="ListParagraph"/>
        <w:numPr>
          <w:ilvl w:val="0"/>
          <w:numId w:val="57"/>
        </w:numPr>
      </w:pPr>
      <w:r>
        <w:t xml:space="preserve">Acta de reinicio con verificación de que la causa cesó, programa reprogramado aprobado y garantías ajustadas a la nueva fecha de terminación.</w:t>
      </w:r>
    </w:p>
    <w:p>
      <w:pPr>
        <w:pStyle w:val="ListParagraph"/>
        <w:numPr>
          <w:ilvl w:val="0"/>
          <w:numId w:val="57"/>
        </w:numPr>
      </w:pPr>
      <w:r>
        <w:t xml:space="preserve">Puntaje: 4 si incluye al menos seis elementos; 2 si incluye tres a cinco.</w:t>
      </w:r>
    </w:p>
    <w:p>
      <w:pPr/>
      <w:r>
        <w:rPr>
          <w:b/>
        </w:rPr>
        <w:t xml:space="preserve">4. Reclamación de $180 millones</w:t>
      </w:r>
    </w:p>
    <w:p>
      <w:pPr>
        <w:pStyle w:val="ListParagraph"/>
        <w:numPr>
          <w:ilvl w:val="0"/>
          <w:numId w:val="58"/>
        </w:numPr>
      </w:pPr>
      <w:r>
        <w:t xml:space="preserve">La causa es externa e imprevisible (fuerza mayor). Por regla general, cada parte asume sus propios costos, salvo que el contrato o la matriz de riesgos digan otra cosa.</w:t>
      </w:r>
    </w:p>
    <w:p>
      <w:pPr>
        <w:pStyle w:val="ListParagraph"/>
        <w:numPr>
          <w:ilvl w:val="0"/>
          <w:numId w:val="58"/>
        </w:numPr>
      </w:pPr>
      <w:r>
        <w:t xml:space="preserve">Revisar la matriz de riesgos (a quién se asignó el riesgo de fuerza mayor), la cláusula de suspensión y lo que se pactó en el acta: quién vigila la obra y si el contratista renunció a reclamar.</w:t>
      </w:r>
    </w:p>
    <w:p>
      <w:pPr>
        <w:pStyle w:val="ListParagraph"/>
        <w:numPr>
          <w:ilvl w:val="0"/>
          <w:numId w:val="58"/>
        </w:numPr>
      </w:pPr>
      <w:r>
        <w:t xml:space="preserve">Pedir soportes: contratos y pagos de vigilancia, facturas de alquiler, prueba de que el equipo permaneció en obra y razón por la que no se desmovilizó. El contratista tiene el deber de mitigar el daño.</w:t>
      </w:r>
    </w:p>
    <w:p>
      <w:pPr>
        <w:pStyle w:val="ListParagraph"/>
        <w:numPr>
          <w:ilvl w:val="0"/>
          <w:numId w:val="58"/>
        </w:numPr>
      </w:pPr>
      <w:r>
        <w:t xml:space="preserve">Si la entidad ordenó mantener equipo o vigilancia en el sitio, los costos razonables y probados pueden reconocerse. El interventor emite el concepto; la entidad decide.</w:t>
      </w:r>
    </w:p>
    <w:p>
      <w:pPr>
        <w:pStyle w:val="ListParagraph"/>
        <w:numPr>
          <w:ilvl w:val="0"/>
          <w:numId w:val="58"/>
        </w:numPr>
      </w:pPr>
      <w:r>
        <w:t xml:space="preserve">Puntaje: 1 por el análisis de riesgo, 1 por los documentos que revisa, 1 por los soportes.</w:t>
      </w:r>
    </w:p>
    <w:p>
      <w:pPr>
        <w:pStyle w:val="Heading3"/>
      </w:pPr>
      <w:r>
        <w:t xml:space="preserve">Clave del caso integrador 4. PTAR</w:t>
      </w:r>
    </w:p>
    <w:p>
      <w:pPr/>
      <w:r>
        <w:t xml:space="preserve">El saldo neto a favor del contratista es $890 millones y deben liberarse $500 millones no ejecutados. El recibo final no procede mientras la planta no alcance el 80 % de remoción de DBO5.</w:t>
      </w:r>
    </w:p>
    <w:p>
      <w:pPr/>
      <w:r>
        <w:rPr>
          <w:b/>
        </w:rPr>
        <w:t xml:space="preserve">1. Balance financiero final ($ millones)</w:t>
      </w:r>
    </w:p>
    <w:tbl>
      <w:tblPr>
        <w:tblStyle w:val="TableGrid"/>
        <w:tblW w:w="0" w:type="auto"/>
        <w:tblLayout w:type="fixed"/>
        <w:tblLook w:val="04A0" w:firstRow="1" w:lastRow="0" w:firstColumn="0" w:lastColumn="0" w:noHBand="0" w:noVBand="1"/>
      </w:tblPr>
      <w:tblGrid>
        <w:gridCol w:w="5876"/>
        <w:gridCol w:w="2379"/>
        <w:gridCol w:w="1104"/>
      </w:tblGrid>
      <w:tr>
        <w:trPr>
          <w:tblHeader/>
        </w:trPr>
        <w:tc>
          <w:tcPr>
            <w:tcW w:w="5876" w:type="dxa"/>
            <w:shd w:val="clear" w:color="auto" w:fill="F2F2F2"/>
          </w:tcPr>
          <w:p>
            <w:pPr/>
            <w:r>
              <w:t xml:space="preserve">Concepto</w:t>
            </w:r>
          </w:p>
        </w:tc>
        <w:tc>
          <w:tcPr>
            <w:tcW w:w="2379" w:type="dxa"/>
            <w:shd w:val="clear" w:color="auto" w:fill="F2F2F2"/>
          </w:tcPr>
          <w:p>
            <w:pPr/>
            <w:r>
              <w:t xml:space="preserve">Cálculo</w:t>
            </w:r>
          </w:p>
        </w:tc>
        <w:tc>
          <w:tcPr>
            <w:tcW w:w="1104" w:type="dxa"/>
            <w:shd w:val="clear" w:color="auto" w:fill="F2F2F2"/>
          </w:tcPr>
          <w:p>
            <w:pPr/>
            <w:r>
              <w:t xml:space="preserve">Valor</w:t>
            </w:r>
          </w:p>
        </w:tc>
      </w:tr>
      <w:tr>
        <w:tc>
          <w:tcPr>
            <w:tcW w:w="5876" w:type="dxa"/>
          </w:tcPr>
          <w:p>
            <w:pPr/>
            <w:r>
              <w:t xml:space="preserve">Valor total del contrato</w:t>
            </w:r>
          </w:p>
        </w:tc>
        <w:tc>
          <w:tcPr>
            <w:tcW w:w="2379" w:type="dxa"/>
          </w:tcPr>
          <w:p>
            <w:pPr/>
            <w:r>
              <w:t xml:space="preserve">22.000 + 3.000</w:t>
            </w:r>
          </w:p>
        </w:tc>
        <w:tc>
          <w:tcPr>
            <w:tcW w:w="1104" w:type="dxa"/>
          </w:tcPr>
          <w:p>
            <w:pPr/>
            <w:r>
              <w:t xml:space="preserve">25.000</w:t>
            </w:r>
          </w:p>
        </w:tc>
      </w:tr>
      <w:tr>
        <w:tc>
          <w:tcPr>
            <w:tcW w:w="5876" w:type="dxa"/>
          </w:tcPr>
          <w:p>
            <w:pPr/>
            <w:r>
              <w:t xml:space="preserve">Valor ejecutado</w:t>
            </w:r>
          </w:p>
        </w:tc>
        <w:tc>
          <w:tcPr>
            <w:tcW w:w="2379" w:type="dxa"/>
          </w:tcPr>
          <w:p>
            <w:pPr/>
            <w:r>
              <w:t xml:space="preserve">23.400 + 1.100</w:t>
            </w:r>
          </w:p>
        </w:tc>
        <w:tc>
          <w:tcPr>
            <w:tcW w:w="1104" w:type="dxa"/>
          </w:tcPr>
          <w:p>
            <w:pPr/>
            <w:r>
              <w:t xml:space="preserve">24.500</w:t>
            </w:r>
          </w:p>
        </w:tc>
      </w:tr>
      <w:tr>
        <w:tc>
          <w:tcPr>
            <w:tcW w:w="5876" w:type="dxa"/>
          </w:tcPr>
          <w:p>
            <w:pPr/>
            <w:r>
              <w:t xml:space="preserve">Saldo por ejecutar a liberar</w:t>
            </w:r>
          </w:p>
        </w:tc>
        <w:tc>
          <w:tcPr>
            <w:tcW w:w="2379" w:type="dxa"/>
          </w:tcPr>
          <w:p>
            <w:pPr/>
            <w:r>
              <w:t xml:space="preserve">25.000 − 24.500</w:t>
            </w:r>
          </w:p>
        </w:tc>
        <w:tc>
          <w:tcPr>
            <w:tcW w:w="1104" w:type="dxa"/>
          </w:tcPr>
          <w:p>
            <w:pPr/>
            <w:r>
              <w:t xml:space="preserve">500</w:t>
            </w:r>
          </w:p>
        </w:tc>
      </w:tr>
      <w:tr>
        <w:tc>
          <w:tcPr>
            <w:tcW w:w="5876" w:type="dxa"/>
          </w:tcPr>
          <w:p>
            <w:pPr/>
            <w:r>
              <w:t xml:space="preserve">Acta final (valor bruto)</w:t>
            </w:r>
          </w:p>
        </w:tc>
        <w:tc>
          <w:tcPr>
            <w:tcW w:w="2379" w:type="dxa"/>
          </w:tcPr>
          <w:p>
            <w:pPr/>
            <w:r>
              <w:t xml:space="preserve">24.500 − 23.100</w:t>
            </w:r>
          </w:p>
        </w:tc>
        <w:tc>
          <w:tcPr>
            <w:tcW w:w="1104" w:type="dxa"/>
          </w:tcPr>
          <w:p>
            <w:pPr/>
            <w:r>
              <w:t xml:space="preserve">1.400</w:t>
            </w:r>
          </w:p>
        </w:tc>
      </w:tr>
      <w:tr>
        <w:tc>
          <w:tcPr>
            <w:tcW w:w="5876" w:type="dxa"/>
          </w:tcPr>
          <w:p>
            <w:pPr/>
            <w:r>
              <w:t xml:space="preserve">Menos anticipo por amortizar</w:t>
            </w:r>
          </w:p>
        </w:tc>
        <w:tc>
          <w:tcPr>
            <w:tcW w:w="2379" w:type="dxa"/>
          </w:tcPr>
          <w:p>
            <w:pPr/>
            <w:r>
              <w:t xml:space="preserve">6.600 − 6.300</w:t>
            </w:r>
          </w:p>
        </w:tc>
        <w:tc>
          <w:tcPr>
            <w:tcW w:w="1104" w:type="dxa"/>
          </w:tcPr>
          <w:p>
            <w:pPr/>
            <w:r>
              <w:t xml:space="preserve">−300</w:t>
            </w:r>
          </w:p>
        </w:tc>
      </w:tr>
      <w:tr>
        <w:tc>
          <w:tcPr>
            <w:tcW w:w="5876" w:type="dxa"/>
          </w:tcPr>
          <w:p>
            <w:pPr/>
            <w:r>
              <w:t xml:space="preserve">Menos multa en firme</w:t>
            </w:r>
          </w:p>
        </w:tc>
        <w:tc>
          <w:tcPr>
            <w:tcW w:w="2379" w:type="dxa"/>
          </w:tcPr>
          <w:p>
            <w:pPr/>
          </w:p>
        </w:tc>
        <w:tc>
          <w:tcPr>
            <w:tcW w:w="1104" w:type="dxa"/>
          </w:tcPr>
          <w:p>
            <w:pPr/>
            <w:r>
              <w:t xml:space="preserve">−150</w:t>
            </w:r>
          </w:p>
        </w:tc>
      </w:tr>
      <w:tr>
        <w:tc>
          <w:tcPr>
            <w:tcW w:w="5876" w:type="dxa"/>
          </w:tcPr>
          <w:p>
            <w:pPr/>
            <w:r>
              <w:t xml:space="preserve">Menos rendimientos pendientes de reintegro</w:t>
            </w:r>
          </w:p>
        </w:tc>
        <w:tc>
          <w:tcPr>
            <w:tcW w:w="2379" w:type="dxa"/>
          </w:tcPr>
          <w:p>
            <w:pPr/>
            <w:r>
              <w:t xml:space="preserve">180 − 120</w:t>
            </w:r>
          </w:p>
        </w:tc>
        <w:tc>
          <w:tcPr>
            <w:tcW w:w="1104" w:type="dxa"/>
          </w:tcPr>
          <w:p>
            <w:pPr/>
            <w:r>
              <w:t xml:space="preserve">−60</w:t>
            </w:r>
          </w:p>
        </w:tc>
      </w:tr>
      <w:tr>
        <w:tc>
          <w:tcPr>
            <w:tcW w:w="5876" w:type="dxa"/>
          </w:tcPr>
          <w:p>
            <w:pPr/>
            <w:r>
              <w:rPr>
                <w:b/>
              </w:rPr>
              <w:t xml:space="preserve">Saldo neto a favor del contratista</w:t>
            </w:r>
          </w:p>
        </w:tc>
        <w:tc>
          <w:tcPr>
            <w:tcW w:w="2379" w:type="dxa"/>
          </w:tcPr>
          <w:p>
            <w:pPr/>
          </w:p>
        </w:tc>
        <w:tc>
          <w:tcPr>
            <w:tcW w:w="1104" w:type="dxa"/>
          </w:tcPr>
          <w:p>
            <w:pPr/>
            <w:r>
              <w:rPr>
                <w:b/>
              </w:rPr>
              <w:t xml:space="preserve">890</w:t>
            </w:r>
          </w:p>
        </w:tc>
      </w:tr>
    </w:tbl>
    <w:p>
      <w:pPr>
        <w:pStyle w:val="ListParagraph"/>
        <w:numPr>
          <w:ilvl w:val="0"/>
          <w:numId w:val="59"/>
        </w:numPr>
      </w:pPr>
      <w:r>
        <w:t xml:space="preserve">También es válido que la fiduciaria reintegre los $60 millones directamente a la entidad; entonces el acta final neta es $950 millones.</w:t>
      </w:r>
    </w:p>
    <w:p>
      <w:pPr>
        <w:pStyle w:val="ListParagraph"/>
        <w:numPr>
          <w:ilvl w:val="0"/>
          <w:numId w:val="59"/>
        </w:numPr>
      </w:pPr>
      <w:r>
        <w:t xml:space="preserve">La multa puede descontarse de los saldos a favor del contratista (artículo 17 de la Ley 1150 de 2007).</w:t>
      </w:r>
    </w:p>
    <w:p>
      <w:pPr>
        <w:pStyle w:val="ListParagraph"/>
        <w:numPr>
          <w:ilvl w:val="0"/>
          <w:numId w:val="59"/>
        </w:numPr>
      </w:pPr>
      <w:r>
        <w:t xml:space="preserve">El saldo de $500 millones se libera del registro presupuestal.</w:t>
      </w:r>
    </w:p>
    <w:p>
      <w:pPr>
        <w:pStyle w:val="ListParagraph"/>
        <w:numPr>
          <w:ilvl w:val="0"/>
          <w:numId w:val="59"/>
        </w:numPr>
      </w:pPr>
      <w:r>
        <w:t xml:space="preserve">Puntaje: 1 por cada uno de estos cálculos: valor total y ejecutado, saldo a liberar, acta final, descuentos y saldo neto.</w:t>
      </w:r>
    </w:p>
    <w:p>
      <w:pPr/>
      <w:r>
        <w:rPr>
          <w:b/>
        </w:rPr>
        <w:t xml:space="preserve">2. Recibo final, arranque y estabilización</w:t>
      </w:r>
    </w:p>
    <w:p>
      <w:pPr>
        <w:pStyle w:val="ListParagraph"/>
        <w:numPr>
          <w:ilvl w:val="0"/>
          <w:numId w:val="60"/>
        </w:numPr>
      </w:pPr>
      <w:r>
        <w:t xml:space="preserve">No se recomienda el recibo final. El objeto incluye el arranque y la estabilización por 90 días, y la planta no cumple la eficiencia del diseño ni la del permiso de vertimiento. Si el contrato lo prevé, puede firmarse un acta de terminación de la obra civil, sin que valga como recibo a satisfacción.</w:t>
      </w:r>
    </w:p>
    <w:p>
      <w:pPr>
        <w:pStyle w:val="ListParagraph"/>
        <w:numPr>
          <w:ilvl w:val="0"/>
          <w:numId w:val="60"/>
        </w:numPr>
      </w:pPr>
      <w:r>
        <w:t xml:space="preserve">Controles: protocolo de arranque aprobado; pruebas de los equipos electromecánicos; monitoreo de caudal, DBO5, DQO, sólidos y pH con laboratorio acreditado por el IDEAM; análisis de causas si no se logra la remoción (diseño, construcción u operación); capacitación del operador y manuales.</w:t>
      </w:r>
    </w:p>
    <w:p>
      <w:pPr>
        <w:pStyle w:val="ListParagraph"/>
        <w:numPr>
          <w:ilvl w:val="0"/>
          <w:numId w:val="60"/>
        </w:numPr>
      </w:pPr>
      <w:r>
        <w:t xml:space="preserve">Normas: Resolución 0330 de 2017 (RAS) y Resolución 0631 de 2015 (vertimientos).</w:t>
      </w:r>
    </w:p>
    <w:p>
      <w:pPr>
        <w:pStyle w:val="ListParagraph"/>
        <w:numPr>
          <w:ilvl w:val="0"/>
          <w:numId w:val="60"/>
        </w:numPr>
      </w:pPr>
      <w:r>
        <w:t xml:space="preserve">El operador participa en las pruebas y en la capacitación y firma la recepción. La autoridad ambiental verifica el cumplimiento del permiso de vertimiento.</w:t>
      </w:r>
    </w:p>
    <w:p>
      <w:pPr>
        <w:pStyle w:val="ListParagraph"/>
        <w:numPr>
          <w:ilvl w:val="0"/>
          <w:numId w:val="60"/>
        </w:numPr>
      </w:pPr>
      <w:r>
        <w:t xml:space="preserve">Puntaje: 1 por la decisión, 2 por los controles, 1 por el papel del operador y la autoridad ambiental.</w:t>
      </w:r>
    </w:p>
    <w:p>
      <w:pPr/>
      <w:r>
        <w:rPr>
          <w:b/>
        </w:rPr>
        <w:t xml:space="preserve">3. Salvedades y falta de firma</w:t>
      </w:r>
    </w:p>
    <w:p>
      <w:pPr>
        <w:pStyle w:val="ListParagraph"/>
        <w:numPr>
          <w:ilvl w:val="0"/>
          <w:numId w:val="61"/>
        </w:numPr>
      </w:pPr>
      <w:r>
        <w:t xml:space="preserve">El contratista puede dejar salvedades en la liquidación bilateral. Deben ser concretas, con su valor y su causa. Lo que no se salve no podrá reclamarse después.</w:t>
      </w:r>
    </w:p>
    <w:p>
      <w:pPr>
        <w:pStyle w:val="ListParagraph"/>
        <w:numPr>
          <w:ilvl w:val="0"/>
          <w:numId w:val="61"/>
        </w:numPr>
      </w:pPr>
      <w:r>
        <w:t xml:space="preserve">El interventor da su concepto sobre la reclamación de $900 millones: ¿la mayor permanencia es imputable a la entidad?, ¿está probada?, ¿se renunció a ella en prórrogas o suspensiones anteriores?</w:t>
      </w:r>
    </w:p>
    <w:p>
      <w:pPr>
        <w:pStyle w:val="ListParagraph"/>
        <w:numPr>
          <w:ilvl w:val="0"/>
          <w:numId w:val="61"/>
        </w:numPr>
      </w:pPr>
      <w:r>
        <w:t xml:space="preserve">Si el contratista no firma o no hay acuerdo, la entidad liquida unilateralmente por acto administrativo en los 2 meses siguientes, o sobre los aspectos no acordados (artículo 11 de la Ley 1150). Contra ese acto procede el recurso de reposición.</w:t>
      </w:r>
    </w:p>
    <w:p>
      <w:pPr>
        <w:pStyle w:val="ListParagraph"/>
        <w:numPr>
          <w:ilvl w:val="0"/>
          <w:numId w:val="61"/>
        </w:numPr>
      </w:pPr>
      <w:r>
        <w:t xml:space="preserve">Puntaje: 1 por las salvedades, 1 por el concepto, 1 por la liquidación unilateral.</w:t>
      </w:r>
    </w:p>
    <w:p>
      <w:pPr/>
      <w:r>
        <w:rPr>
          <w:b/>
        </w:rPr>
        <w:t xml:space="preserve">4. Garantías y documentos de cierre</w:t>
      </w:r>
    </w:p>
    <w:p>
      <w:pPr>
        <w:pStyle w:val="ListParagraph"/>
        <w:numPr>
          <w:ilvl w:val="0"/>
          <w:numId w:val="62"/>
        </w:numPr>
      </w:pPr>
      <w:r>
        <w:t xml:space="preserve">Garantías: estabilidad y calidad de la obra (mínimo 5 años desde el recibo), calidad y correcto funcionamiento de los equipos suministrados, y pago de salarios y prestaciones (plazo del contrato más 3 años).</w:t>
      </w:r>
    </w:p>
    <w:p>
      <w:pPr>
        <w:pStyle w:val="ListParagraph"/>
        <w:numPr>
          <w:ilvl w:val="0"/>
          <w:numId w:val="62"/>
        </w:numPr>
      </w:pPr>
      <w:r>
        <w:t xml:space="preserve">Documentos: planos récord, manuales de operación y mantenimiento, garantías de los fabricantes, actas de capacitación, acta de entrega al operador, paz y salvos laborales, ambientales y de vecindad, certificado de cierre de la fiducia con el reintegro de rendimientos, e informe final de interventoría.</w:t>
      </w:r>
    </w:p>
    <w:p>
      <w:pPr>
        <w:pStyle w:val="ListParagraph"/>
        <w:numPr>
          <w:ilvl w:val="0"/>
          <w:numId w:val="62"/>
        </w:numPr>
      </w:pPr>
      <w:r>
        <w:t xml:space="preserve">Puntaje: 1,5 por las garantías y 1,5 por los documentos.</w:t>
      </w:r>
    </w:p>
    <w:p>
      <w:pPr>
        <w:pStyle w:val="Heading3"/>
      </w:pPr>
      <w:r>
        <w:t xml:space="preserve">Escala de calificación</w:t>
      </w:r>
    </w:p>
    <w:tbl>
      <w:tblPr>
        <w:tblStyle w:val="TableGrid"/>
        <w:tblW w:w="0" w:type="auto"/>
        <w:tblLayout w:type="fixed"/>
        <w:tblLook w:val="04A0" w:firstRow="1" w:lastRow="0" w:firstColumn="0" w:lastColumn="0" w:noHBand="0" w:noVBand="1"/>
      </w:tblPr>
      <w:tblGrid>
        <w:gridCol w:w="2097"/>
        <w:gridCol w:w="1391"/>
        <w:gridCol w:w="1661"/>
        <w:gridCol w:w="4211"/>
      </w:tblGrid>
      <w:tr>
        <w:trPr>
          <w:tblHeader/>
        </w:trPr>
        <w:tc>
          <w:tcPr>
            <w:tcW w:w="2097" w:type="dxa"/>
            <w:shd w:val="clear" w:color="auto" w:fill="F2F2F2"/>
          </w:tcPr>
          <w:p>
            <w:pPr/>
            <w:r>
              <w:t xml:space="preserve">Rango (sobre 150)</w:t>
            </w:r>
          </w:p>
        </w:tc>
        <w:tc>
          <w:tcPr>
            <w:tcW w:w="1391" w:type="dxa"/>
            <w:shd w:val="clear" w:color="auto" w:fill="F2F2F2"/>
          </w:tcPr>
          <w:p>
            <w:pPr/>
            <w:r>
              <w:t xml:space="preserve">Porcentaje</w:t>
            </w:r>
          </w:p>
        </w:tc>
        <w:tc>
          <w:tcPr>
            <w:tcW w:w="1661" w:type="dxa"/>
            <w:shd w:val="clear" w:color="auto" w:fill="F2F2F2"/>
          </w:tcPr>
          <w:p>
            <w:pPr/>
            <w:r>
              <w:t xml:space="preserve">Resultado</w:t>
            </w:r>
          </w:p>
        </w:tc>
        <w:tc>
          <w:tcPr>
            <w:tcW w:w="4211" w:type="dxa"/>
            <w:shd w:val="clear" w:color="auto" w:fill="F2F2F2"/>
          </w:tcPr>
          <w:p>
            <w:pPr/>
            <w:r>
              <w:t xml:space="preserve">Interpretación</w:t>
            </w:r>
          </w:p>
        </w:tc>
      </w:tr>
      <w:tr>
        <w:tc>
          <w:tcPr>
            <w:tcW w:w="2097" w:type="dxa"/>
          </w:tcPr>
          <w:p>
            <w:pPr/>
            <w:r>
              <w:t xml:space="preserve">135 a 150</w:t>
            </w:r>
          </w:p>
        </w:tc>
        <w:tc>
          <w:tcPr>
            <w:tcW w:w="1391" w:type="dxa"/>
          </w:tcPr>
          <w:p>
            <w:pPr/>
            <w:r>
              <w:t xml:space="preserve">90 a 100 %</w:t>
            </w:r>
          </w:p>
        </w:tc>
        <w:tc>
          <w:tcPr>
            <w:tcW w:w="1661" w:type="dxa"/>
          </w:tcPr>
          <w:p>
            <w:pPr/>
            <w:r>
              <w:t xml:space="preserve">Sobresaliente</w:t>
            </w:r>
          </w:p>
        </w:tc>
        <w:tc>
          <w:tcPr>
            <w:tcW w:w="4211" w:type="dxa"/>
          </w:tcPr>
          <w:p>
            <w:pPr/>
            <w:r>
              <w:t xml:space="preserve">Aplica los controles con criterio, límites de facultades y soporte normativo.</w:t>
            </w:r>
          </w:p>
        </w:tc>
      </w:tr>
      <w:tr>
        <w:tc>
          <w:tcPr>
            <w:tcW w:w="2097" w:type="dxa"/>
          </w:tcPr>
          <w:p>
            <w:pPr/>
            <w:r>
              <w:t xml:space="preserve">105 a 134</w:t>
            </w:r>
          </w:p>
        </w:tc>
        <w:tc>
          <w:tcPr>
            <w:tcW w:w="1391" w:type="dxa"/>
          </w:tcPr>
          <w:p>
            <w:pPr/>
            <w:r>
              <w:t xml:space="preserve">70 a 89 %</w:t>
            </w:r>
          </w:p>
        </w:tc>
        <w:tc>
          <w:tcPr>
            <w:tcW w:w="1661" w:type="dxa"/>
          </w:tcPr>
          <w:p>
            <w:pPr/>
            <w:r>
              <w:t xml:space="preserve">Aprobado</w:t>
            </w:r>
          </w:p>
        </w:tc>
        <w:tc>
          <w:tcPr>
            <w:tcW w:w="4211" w:type="dxa"/>
          </w:tcPr>
          <w:p>
            <w:pPr/>
            <w:r>
              <w:t xml:space="preserve">Domina los controles principales; refuerce los temas con menor puntaje.</w:t>
            </w:r>
          </w:p>
        </w:tc>
      </w:tr>
      <w:tr>
        <w:tc>
          <w:tcPr>
            <w:tcW w:w="2097" w:type="dxa"/>
          </w:tcPr>
          <w:p>
            <w:pPr/>
            <w:r>
              <w:t xml:space="preserve">75 a 104</w:t>
            </w:r>
          </w:p>
        </w:tc>
        <w:tc>
          <w:tcPr>
            <w:tcW w:w="1391" w:type="dxa"/>
          </w:tcPr>
          <w:p>
            <w:pPr/>
            <w:r>
              <w:t xml:space="preserve">50 a 69 %</w:t>
            </w:r>
          </w:p>
        </w:tc>
        <w:tc>
          <w:tcPr>
            <w:tcW w:w="1661" w:type="dxa"/>
          </w:tcPr>
          <w:p>
            <w:pPr/>
            <w:r>
              <w:t xml:space="preserve">Insuficiente</w:t>
            </w:r>
          </w:p>
        </w:tc>
        <w:tc>
          <w:tcPr>
            <w:tcW w:w="4211" w:type="dxa"/>
          </w:tcPr>
          <w:p>
            <w:pPr/>
            <w:r>
              <w:t xml:space="preserve">Conoce los conceptos, pero no los aplica bien a situaciones reales.</w:t>
            </w:r>
          </w:p>
        </w:tc>
      </w:tr>
      <w:tr>
        <w:tc>
          <w:tcPr>
            <w:tcW w:w="2097" w:type="dxa"/>
          </w:tcPr>
          <w:p>
            <w:pPr/>
            <w:r>
              <w:t xml:space="preserve">0 a 74</w:t>
            </w:r>
          </w:p>
        </w:tc>
        <w:tc>
          <w:tcPr>
            <w:tcW w:w="1391" w:type="dxa"/>
          </w:tcPr>
          <w:p>
            <w:pPr/>
            <w:r>
              <w:t xml:space="preserve">0 a 49 %</w:t>
            </w:r>
          </w:p>
        </w:tc>
        <w:tc>
          <w:tcPr>
            <w:tcW w:w="1661" w:type="dxa"/>
          </w:tcPr>
          <w:p>
            <w:pPr/>
            <w:r>
              <w:t xml:space="preserve">Deficiente</w:t>
            </w:r>
          </w:p>
        </w:tc>
        <w:tc>
          <w:tcPr>
            <w:tcW w:w="4211" w:type="dxa"/>
          </w:tcPr>
          <w:p>
            <w:pPr/>
            <w:r>
              <w:t xml:space="preserve">Requiere formación en el marco normativo y en los manuales de interventoría.</w:t>
            </w:r>
          </w:p>
        </w:tc>
      </w:tr>
    </w:tbl>
    <w:p>
      <w:pPr/>
      <w:r>
        <w:t xml:space="preserve">Criterio transversal: se descuenta 1 punto por respuesta abierta en la que el interventor se atribuya facultades que no tiene, como modificar el contrato, imponer multas, declarar la urgencia o pagar directamente.</w:t>
      </w:r>
    </w:p>
    <w:p>
      <w:pPr>
        <w:pStyle w:val="Heading2"/>
      </w:pPr>
      <w:r>
        <w:t xml:space="preserve">Verificación normativa</w:t>
      </w:r>
    </w:p>
    <w:p>
      <w:pPr/>
      <w:r>
        <w:t xml:space="preserve">Las citas del examen coinciden con lo encontrado. Se precisaron cinco: RCD, reporte de accidentes, reorganización, sanciones ambientales y prórroga de licencias. Los sitios oficiales (Función Pública, Secretaría del Senado) no se pudieron abrir desde este entorno, así que la verificación se hizo con conceptos de Colombia Compra Eficiente, normogramas de entidades y textos que transcriben las normas.</w:t>
      </w:r>
    </w:p>
    <w:tbl>
      <w:tblPr>
        <w:tblStyle w:val="TableGrid"/>
        <w:tblW w:w="0" w:type="auto"/>
        <w:tblLayout w:type="fixed"/>
        <w:tblLook w:val="04A0" w:firstRow="1" w:lastRow="0" w:firstColumn="0" w:lastColumn="0" w:noHBand="0" w:noVBand="1"/>
      </w:tblPr>
      <w:tblGrid>
        <w:gridCol w:w="3979"/>
        <w:gridCol w:w="3781"/>
        <w:gridCol w:w="1600"/>
      </w:tblGrid>
      <w:tr>
        <w:trPr>
          <w:tblHeader/>
        </w:trPr>
        <w:tc>
          <w:tcPr>
            <w:tcW w:w="3979" w:type="dxa"/>
            <w:shd w:val="clear" w:color="auto" w:fill="F2F2F2"/>
          </w:tcPr>
          <w:p>
            <w:pPr/>
            <w:r>
              <w:t xml:space="preserve">Norma citada</w:t>
            </w:r>
          </w:p>
        </w:tc>
        <w:tc>
          <w:tcPr>
            <w:tcW w:w="3781" w:type="dxa"/>
            <w:shd w:val="clear" w:color="auto" w:fill="F2F2F2"/>
          </w:tcPr>
          <w:p>
            <w:pPr/>
            <w:r>
              <w:t xml:space="preserve">Resultado</w:t>
            </w:r>
          </w:p>
        </w:tc>
        <w:tc>
          <w:tcPr>
            <w:tcW w:w="1600" w:type="dxa"/>
            <w:shd w:val="clear" w:color="auto" w:fill="F2F2F2"/>
          </w:tcPr>
          <w:p>
            <w:pPr/>
            <w:r>
              <w:t xml:space="preserve">Fuente</w:t>
            </w:r>
          </w:p>
        </w:tc>
      </w:tr>
      <w:tr>
        <w:tc>
          <w:tcPr>
            <w:tcW w:w="3979" w:type="dxa"/>
          </w:tcPr>
          <w:p>
            <w:pPr/>
            <w:r>
              <w:t xml:space="preserve">Ley 1474 de 2011, art. 83 (no concurrencia de supervisión e interventoría)</w:t>
            </w:r>
          </w:p>
        </w:tc>
        <w:tc>
          <w:tcPr>
            <w:tcW w:w="3781" w:type="dxa"/>
          </w:tcPr>
          <w:p>
            <w:pPr/>
            <w:r>
              <w:t xml:space="preserve">Confirmado: si la entidad divide la vigilancia, el contrato de interventoría indica las actividades del interventor y el resto queda al supervisor</w:t>
            </w:r>
          </w:p>
        </w:tc>
        <w:tc>
          <w:tcPr>
            <w:tcW w:w="1600" w:type="dxa"/>
          </w:tcPr>
          <w:p>
            <w:pPr/>
            <w:hyperlink r:id="rId4" w:history="1">
              <w:r>
                <w:rPr>
                  <w:rStyle w:val="Hyperlink"/>
                </w:rPr>
                <w:t xml:space="preserve">Colombia Compra Eficiente, conceptos</w:t>
              </w:r>
            </w:hyperlink>
          </w:p>
        </w:tc>
      </w:tr>
      <w:tr>
        <w:tc>
          <w:tcPr>
            <w:tcW w:w="3979" w:type="dxa"/>
          </w:tcPr>
          <w:p>
            <w:pPr/>
            <w:r>
              <w:t xml:space="preserve">Ley 1474 de 2011, art. 84, par. 3 (responsabilidad solidaria del interventor)</w:t>
            </w:r>
          </w:p>
        </w:tc>
        <w:tc>
          <w:tcPr>
            <w:tcW w:w="3781" w:type="dxa"/>
          </w:tcPr>
          <w:p>
            <w:pPr/>
            <w:r>
              <w:t xml:space="preserve">Confirmado</w:t>
            </w:r>
          </w:p>
        </w:tc>
        <w:tc>
          <w:tcPr>
            <w:tcW w:w="1600" w:type="dxa"/>
          </w:tcPr>
          <w:p>
            <w:pPr/>
            <w:hyperlink r:id="rId5" w:history="1">
              <w:r>
                <w:rPr>
                  <w:rStyle w:val="Hyperlink"/>
                </w:rPr>
                <w:t xml:space="preserve">Auditoría IDPC</w:t>
              </w:r>
            </w:hyperlink>
          </w:p>
        </w:tc>
      </w:tr>
      <w:tr>
        <w:tc>
          <w:tcPr>
            <w:tcW w:w="3979" w:type="dxa"/>
          </w:tcPr>
          <w:p>
            <w:pPr/>
            <w:r>
              <w:t xml:space="preserve">Ley 1474 de 2011, art. 91 (fiducia del anticipo)</w:t>
            </w:r>
          </w:p>
        </w:tc>
        <w:tc>
          <w:tcPr>
            <w:tcW w:w="3781" w:type="dxa"/>
          </w:tcPr>
          <w:p>
            <w:pPr/>
            <w:r>
              <w:t xml:space="preserve">Confirmado; no aplica en selección abreviada de menor cuantía ni en mínima cuantía</w:t>
            </w:r>
          </w:p>
        </w:tc>
        <w:tc>
          <w:tcPr>
            <w:tcW w:w="1600" w:type="dxa"/>
          </w:tcPr>
          <w:p>
            <w:pPr/>
            <w:hyperlink r:id="rId6" w:history="1">
              <w:r>
                <w:rPr>
                  <w:rStyle w:val="Hyperlink"/>
                </w:rPr>
                <w:t xml:space="preserve">Concepto C-845 de 2025</w:t>
              </w:r>
            </w:hyperlink>
          </w:p>
        </w:tc>
      </w:tr>
      <w:tr>
        <w:tc>
          <w:tcPr>
            <w:tcW w:w="3979" w:type="dxa"/>
          </w:tcPr>
          <w:p>
            <w:pPr/>
            <w:r>
              <w:t xml:space="preserve">Ley 1474 de 2011, art. 118 (culpa grave por omisiones de interventoría)</w:t>
            </w:r>
          </w:p>
        </w:tc>
        <w:tc>
          <w:tcPr>
            <w:tcW w:w="3781" w:type="dxa"/>
          </w:tcPr>
          <w:p>
            <w:pPr/>
            <w:r>
              <w:t xml:space="preserve">Confirmado en fuentes secundarias; el literal exacto no se pudo leer</w:t>
            </w:r>
          </w:p>
        </w:tc>
        <w:tc>
          <w:tcPr>
            <w:tcW w:w="1600" w:type="dxa"/>
          </w:tcPr>
          <w:p>
            <w:pPr/>
            <w:hyperlink r:id="rId7" w:history="1">
              <w:r>
                <w:rPr>
                  <w:rStyle w:val="Hyperlink"/>
                </w:rPr>
                <w:t xml:space="preserve">Sentencia C-512 de 2013</w:t>
              </w:r>
            </w:hyperlink>
          </w:p>
        </w:tc>
      </w:tr>
      <w:tr>
        <w:tc>
          <w:tcPr>
            <w:tcW w:w="3979" w:type="dxa"/>
          </w:tcPr>
          <w:p>
            <w:pPr/>
            <w:r>
              <w:t xml:space="preserve">Ley 1150 de 2007, art. 11 (liquidación: 4 meses, 2 meses, 2 años)</w:t>
            </w:r>
          </w:p>
        </w:tc>
        <w:tc>
          <w:tcPr>
            <w:tcW w:w="3781" w:type="dxa"/>
          </w:tcPr>
          <w:p>
            <w:pPr/>
            <w:r>
              <w:t xml:space="preserve">Confirmado</w:t>
            </w:r>
          </w:p>
        </w:tc>
        <w:tc>
          <w:tcPr>
            <w:tcW w:w="1600" w:type="dxa"/>
          </w:tcPr>
          <w:p>
            <w:pPr/>
            <w:hyperlink r:id="rId8" w:history="1">
              <w:r>
                <w:rPr>
                  <w:rStyle w:val="Hyperlink"/>
                </w:rPr>
                <w:t xml:space="preserve">Colombia Compra Eficiente</w:t>
              </w:r>
            </w:hyperlink>
          </w:p>
        </w:tc>
      </w:tr>
      <w:tr>
        <w:tc>
          <w:tcPr>
            <w:tcW w:w="3979" w:type="dxa"/>
          </w:tcPr>
          <w:p>
            <w:pPr/>
            <w:r>
              <w:t xml:space="preserve">Ley 80 de 1993, art. 32 (interventoría obligatoria en obra licitada)</w:t>
            </w:r>
          </w:p>
        </w:tc>
        <w:tc>
          <w:tcPr>
            <w:tcW w:w="3781" w:type="dxa"/>
          </w:tcPr>
          <w:p>
            <w:pPr/>
            <w:r>
              <w:t xml:space="preserve">Confirmado</w:t>
            </w:r>
          </w:p>
        </w:tc>
        <w:tc>
          <w:tcPr>
            <w:tcW w:w="1600" w:type="dxa"/>
          </w:tcPr>
          <w:p>
            <w:pPr/>
            <w:hyperlink r:id="rId9" w:history="1">
              <w:r>
                <w:rPr>
                  <w:rStyle w:val="Hyperlink"/>
                </w:rPr>
                <w:t xml:space="preserve">Colombia Compra Eficiente</w:t>
              </w:r>
            </w:hyperlink>
          </w:p>
        </w:tc>
      </w:tr>
      <w:tr>
        <w:tc>
          <w:tcPr>
            <w:tcW w:w="3979" w:type="dxa"/>
          </w:tcPr>
          <w:p>
            <w:pPr/>
            <w:r>
              <w:t xml:space="preserve">Ley 80 de 1993, art. 40, par. (adiciones hasta 50 % en SMMLV)</w:t>
            </w:r>
          </w:p>
        </w:tc>
        <w:tc>
          <w:tcPr>
            <w:tcW w:w="3781" w:type="dxa"/>
          </w:tcPr>
          <w:p>
            <w:pPr/>
            <w:r>
              <w:t xml:space="preserve">Confirmado</w:t>
            </w:r>
          </w:p>
        </w:tc>
        <w:tc>
          <w:tcPr>
            <w:tcW w:w="1600" w:type="dxa"/>
          </w:tcPr>
          <w:p>
            <w:pPr/>
            <w:hyperlink r:id="rId10" w:history="1">
              <w:r>
                <w:rPr>
                  <w:rStyle w:val="Hyperlink"/>
                </w:rPr>
                <w:t xml:space="preserve">Concepto C-451 de 2025</w:t>
              </w:r>
            </w:hyperlink>
          </w:p>
        </w:tc>
      </w:tr>
      <w:tr>
        <w:tc>
          <w:tcPr>
            <w:tcW w:w="3979" w:type="dxa"/>
          </w:tcPr>
          <w:p>
            <w:pPr/>
            <w:r>
              <w:t xml:space="preserve">Decreto 1082 de 2015, art. 2.2.1.2.3.1.14 (estabilidad mínimo 5 años)</w:t>
            </w:r>
          </w:p>
        </w:tc>
        <w:tc>
          <w:tcPr>
            <w:tcW w:w="3781" w:type="dxa"/>
          </w:tcPr>
          <w:p>
            <w:pPr/>
            <w:r>
              <w:t xml:space="preserve">Confirmado; modificado por el Decreto 399 de 2021</w:t>
            </w:r>
          </w:p>
        </w:tc>
        <w:tc>
          <w:tcPr>
            <w:tcW w:w="1600" w:type="dxa"/>
          </w:tcPr>
          <w:p>
            <w:pPr/>
            <w:hyperlink r:id="rId11" w:history="1">
              <w:r>
                <w:rPr>
                  <w:rStyle w:val="Hyperlink"/>
                </w:rPr>
                <w:t xml:space="preserve">Concepto C-335</w:t>
              </w:r>
            </w:hyperlink>
          </w:p>
        </w:tc>
      </w:tr>
      <w:tr>
        <w:tc>
          <w:tcPr>
            <w:tcW w:w="3979" w:type="dxa"/>
          </w:tcPr>
          <w:p>
            <w:pPr/>
            <w:r>
              <w:t xml:space="preserve">Amparo de salarios y prestaciones: plazo más 3 años</w:t>
            </w:r>
          </w:p>
        </w:tc>
        <w:tc>
          <w:tcPr>
            <w:tcW w:w="3781" w:type="dxa"/>
          </w:tcPr>
          <w:p>
            <w:pPr/>
            <w:r>
              <w:t xml:space="preserve">Confirmado en la práctica de aprobación de pólizas; el texto del decreto no se pudo leer</w:t>
            </w:r>
          </w:p>
        </w:tc>
        <w:tc>
          <w:tcPr>
            <w:tcW w:w="1600" w:type="dxa"/>
          </w:tcPr>
          <w:p>
            <w:pPr/>
            <w:hyperlink r:id="rId12" w:history="1">
              <w:r>
                <w:rPr>
                  <w:rStyle w:val="Hyperlink"/>
                </w:rPr>
                <w:t xml:space="preserve">Colombia Compra Eficiente</w:t>
              </w:r>
            </w:hyperlink>
          </w:p>
        </w:tc>
      </w:tr>
      <w:tr>
        <w:tc>
          <w:tcPr>
            <w:tcW w:w="3979" w:type="dxa"/>
          </w:tcPr>
          <w:p>
            <w:pPr/>
            <w:r>
              <w:t xml:space="preserve">Resolución 4272 de 2021 (trabajo en alturas)</w:t>
            </w:r>
          </w:p>
        </w:tc>
        <w:tc>
          <w:tcPr>
            <w:tcW w:w="3781" w:type="dxa"/>
          </w:tcPr>
          <w:p>
            <w:pPr/>
            <w:r>
              <w:t xml:space="preserve">Confirmado; deroga la Resolución 1409 de 2012</w:t>
            </w:r>
          </w:p>
        </w:tc>
        <w:tc>
          <w:tcPr>
            <w:tcW w:w="1600" w:type="dxa"/>
          </w:tcPr>
          <w:p>
            <w:pPr/>
            <w:hyperlink r:id="rId13" w:history="1">
              <w:r>
                <w:rPr>
                  <w:rStyle w:val="Hyperlink"/>
                </w:rPr>
                <w:t xml:space="preserve">ABC de Colmena Seguros</w:t>
              </w:r>
            </w:hyperlink>
          </w:p>
        </w:tc>
      </w:tr>
      <w:tr>
        <w:tc>
          <w:tcPr>
            <w:tcW w:w="3979" w:type="dxa"/>
          </w:tcPr>
          <w:p>
            <w:pPr/>
            <w:r>
              <w:t xml:space="preserve">Resolución 1257 de 2021 (RCD)</w:t>
            </w:r>
          </w:p>
        </w:tc>
        <w:tc>
          <w:tcPr>
            <w:tcW w:w="3781" w:type="dxa"/>
          </w:tcPr>
          <w:p>
            <w:pPr/>
            <w:r>
              <w:t xml:space="preserve">Precisado: modifica la Resolución 0472 de 2017</w:t>
            </w:r>
          </w:p>
        </w:tc>
        <w:tc>
          <w:tcPr>
            <w:tcW w:w="1600" w:type="dxa"/>
          </w:tcPr>
          <w:p>
            <w:pPr/>
            <w:hyperlink r:id="rId14" w:history="1">
              <w:r>
                <w:rPr>
                  <w:rStyle w:val="Hyperlink"/>
                </w:rPr>
                <w:t xml:space="preserve">Normograma CRA</w:t>
              </w:r>
            </w:hyperlink>
          </w:p>
        </w:tc>
      </w:tr>
      <w:tr>
        <w:tc>
          <w:tcPr>
            <w:tcW w:w="3979" w:type="dxa"/>
          </w:tcPr>
          <w:p>
            <w:pPr/>
            <w:r>
              <w:t xml:space="preserve">Resolución 0501 de 2017 (reglamento técnico de tuberías)</w:t>
            </w:r>
          </w:p>
        </w:tc>
        <w:tc>
          <w:tcPr>
            <w:tcW w:w="3781" w:type="dxa"/>
          </w:tcPr>
          <w:p>
            <w:pPr/>
            <w:r>
              <w:t xml:space="preserve">Confirmado; rige desde 2019 (Resolución 0115 de 2018)</w:t>
            </w:r>
          </w:p>
        </w:tc>
        <w:tc>
          <w:tcPr>
            <w:tcW w:w="1600" w:type="dxa"/>
          </w:tcPr>
          <w:p>
            <w:pPr/>
            <w:hyperlink r:id="rId15" w:history="1">
              <w:r>
                <w:rPr>
                  <w:rStyle w:val="Hyperlink"/>
                </w:rPr>
                <w:t xml:space="preserve">Normograma CRA</w:t>
              </w:r>
            </w:hyperlink>
          </w:p>
        </w:tc>
      </w:tr>
      <w:tr>
        <w:tc>
          <w:tcPr>
            <w:tcW w:w="3979" w:type="dxa"/>
          </w:tcPr>
          <w:p>
            <w:pPr/>
            <w:r>
              <w:t xml:space="preserve">Ley 1185 de 2008 y Decreto 138 de 2019 (arqueología preventiva)</w:t>
            </w:r>
          </w:p>
        </w:tc>
        <w:tc>
          <w:tcPr>
            <w:tcW w:w="3781" w:type="dxa"/>
          </w:tcPr>
          <w:p>
            <w:pPr/>
            <w:r>
              <w:t xml:space="preserve">Confirmado</w:t>
            </w:r>
          </w:p>
        </w:tc>
        <w:tc>
          <w:tcPr>
            <w:tcW w:w="1600" w:type="dxa"/>
          </w:tcPr>
          <w:p>
            <w:pPr/>
            <w:hyperlink r:id="rId16" w:history="1">
              <w:r>
                <w:rPr>
                  <w:rStyle w:val="Hyperlink"/>
                </w:rPr>
                <w:t xml:space="preserve">ANLA</w:t>
              </w:r>
            </w:hyperlink>
          </w:p>
        </w:tc>
      </w:tr>
      <w:tr>
        <w:tc>
          <w:tcPr>
            <w:tcW w:w="3979" w:type="dxa"/>
          </w:tcPr>
          <w:p>
            <w:pPr/>
            <w:r>
              <w:t xml:space="preserve">Ley 1796 de 2016 (supervisión técnica sobre 2.000 m²; certificado técnico de ocupación, art. 6)</w:t>
            </w:r>
          </w:p>
        </w:tc>
        <w:tc>
          <w:tcPr>
            <w:tcW w:w="3781" w:type="dxa"/>
          </w:tcPr>
          <w:p>
            <w:pPr/>
            <w:r>
              <w:t xml:space="preserve">Confirmado</w:t>
            </w:r>
          </w:p>
        </w:tc>
        <w:tc>
          <w:tcPr>
            <w:tcW w:w="1600" w:type="dxa"/>
          </w:tcPr>
          <w:p>
            <w:pPr/>
            <w:hyperlink r:id="rId17" w:history="1">
              <w:r>
                <w:rPr>
                  <w:rStyle w:val="Hyperlink"/>
                </w:rPr>
                <w:t xml:space="preserve">Normograma CRA</w:t>
              </w:r>
            </w:hyperlink>
          </w:p>
        </w:tc>
      </w:tr>
      <w:tr>
        <w:tc>
          <w:tcPr>
            <w:tcW w:w="3979" w:type="dxa"/>
          </w:tcPr>
          <w:p>
            <w:pPr/>
            <w:r>
              <w:t xml:space="preserve">Decreto 1077 de 2015 (prórroga de licencia, 30 días hábiles)</w:t>
            </w:r>
          </w:p>
        </w:tc>
        <w:tc>
          <w:tcPr>
            <w:tcW w:w="3781" w:type="dxa"/>
          </w:tcPr>
          <w:p>
            <w:pPr/>
            <w:r>
              <w:t xml:space="preserve">Confirmado; precisado que lo modificó el Decreto 1783 de 2021</w:t>
            </w:r>
          </w:p>
        </w:tc>
        <w:tc>
          <w:tcPr>
            <w:tcW w:w="1600" w:type="dxa"/>
          </w:tcPr>
          <w:p>
            <w:pPr/>
            <w:hyperlink r:id="rId18" w:history="1">
              <w:r>
                <w:rPr>
                  <w:rStyle w:val="Hyperlink"/>
                </w:rPr>
                <w:t xml:space="preserve">Curaduría Urbana 3 de Bogotá</w:t>
              </w:r>
            </w:hyperlink>
          </w:p>
        </w:tc>
      </w:tr>
      <w:tr>
        <w:tc>
          <w:tcPr>
            <w:tcW w:w="3979" w:type="dxa"/>
          </w:tcPr>
          <w:p>
            <w:pPr/>
            <w:r>
              <w:t xml:space="preserve">Reporte de accidentes en 2 días hábiles e investigación en 15 días</w:t>
            </w:r>
          </w:p>
        </w:tc>
        <w:tc>
          <w:tcPr>
            <w:tcW w:w="3781" w:type="dxa"/>
          </w:tcPr>
          <w:p>
            <w:pPr/>
            <w:r>
              <w:t xml:space="preserve">Precisado: el plazo de reporte viene del art. 62 del Decreto 1295 de 1994; la Resolución 156 de 2005 fija el formato y la 1401 de 2007 la investigación</w:t>
            </w:r>
          </w:p>
        </w:tc>
        <w:tc>
          <w:tcPr>
            <w:tcW w:w="1600" w:type="dxa"/>
          </w:tcPr>
          <w:p>
            <w:pPr/>
            <w:hyperlink r:id="rId19" w:history="1">
              <w:r>
                <w:rPr>
                  <w:rStyle w:val="Hyperlink"/>
                </w:rPr>
                <w:t xml:space="preserve">Gobierno de Bogotá</w:t>
              </w:r>
            </w:hyperlink>
          </w:p>
        </w:tc>
      </w:tr>
      <w:tr>
        <w:tc>
          <w:tcPr>
            <w:tcW w:w="3979" w:type="dxa"/>
          </w:tcPr>
          <w:p>
            <w:pPr/>
            <w:r>
              <w:t xml:space="preserve">Ley 1116 de 2006 (reorganización)</w:t>
            </w:r>
          </w:p>
        </w:tc>
        <w:tc>
          <w:tcPr>
            <w:tcW w:w="3781" w:type="dxa"/>
          </w:tcPr>
          <w:p>
            <w:pPr/>
            <w:r>
              <w:t xml:space="preserve">Precisado: se agregó el art. 21, que impide la terminación unilateral y la caducidad por el solo inicio del proceso</w:t>
            </w:r>
          </w:p>
        </w:tc>
        <w:tc>
          <w:tcPr>
            <w:tcW w:w="1600" w:type="dxa"/>
          </w:tcPr>
          <w:p>
            <w:pPr/>
            <w:hyperlink r:id="rId20" w:history="1">
              <w:r>
                <w:rPr>
                  <w:rStyle w:val="Hyperlink"/>
                </w:rPr>
                <w:t xml:space="preserve">Sentencia C-620 de 2012</w:t>
              </w:r>
            </w:hyperlink>
          </w:p>
        </w:tc>
      </w:tr>
      <w:tr>
        <w:tc>
          <w:tcPr>
            <w:tcW w:w="3979" w:type="dxa"/>
          </w:tcPr>
          <w:p>
            <w:pPr/>
            <w:r>
              <w:t xml:space="preserve">Ley 1508 de 2012, art. 5 (retribución en APP)</w:t>
            </w:r>
          </w:p>
        </w:tc>
        <w:tc>
          <w:tcPr>
            <w:tcW w:w="3781" w:type="dxa"/>
          </w:tcPr>
          <w:p>
            <w:pPr/>
            <w:r>
              <w:t xml:space="preserve">Confirmado; modificado por la Ley 1753 de 2015</w:t>
            </w:r>
          </w:p>
        </w:tc>
        <w:tc>
          <w:tcPr>
            <w:tcW w:w="1600" w:type="dxa"/>
          </w:tcPr>
          <w:p>
            <w:pPr/>
            <w:hyperlink r:id="rId21" w:history="1">
              <w:r>
                <w:rPr>
                  <w:rStyle w:val="Hyperlink"/>
                </w:rPr>
                <w:t xml:space="preserve">Decreto 1278 de 2021</w:t>
              </w:r>
            </w:hyperlink>
          </w:p>
        </w:tc>
      </w:tr>
      <w:tr>
        <w:tc>
          <w:tcPr>
            <w:tcW w:w="3979" w:type="dxa"/>
          </w:tcPr>
          <w:p>
            <w:pPr/>
            <w:r>
              <w:t xml:space="preserve">Ley 1333 de 2009 (sancionatorio ambiental)</w:t>
            </w:r>
          </w:p>
        </w:tc>
        <w:tc>
          <w:tcPr>
            <w:tcW w:w="3781" w:type="dxa"/>
          </w:tcPr>
          <w:p>
            <w:pPr/>
            <w:r>
              <w:t xml:space="preserve">Precisado: reformada por la Ley 2387 de 2024</w:t>
            </w:r>
          </w:p>
        </w:tc>
        <w:tc>
          <w:tcPr>
            <w:tcW w:w="1600" w:type="dxa"/>
          </w:tcPr>
          <w:p>
            <w:pPr/>
            <w:hyperlink r:id="rId22" w:history="1">
              <w:r>
                <w:rPr>
                  <w:rStyle w:val="Hyperlink"/>
                </w:rPr>
                <w:t xml:space="preserve">ANLA</w:t>
              </w:r>
            </w:hyperlink>
          </w:p>
        </w:tc>
      </w:tr>
    </w:tbl>
    <w:p>
      <w:pPr/>
      <w:r>
        <w:t xml:space="preserve">No se pudieron verificar en línea y se citan de memoria: NSR-10 C.5.6, Resolución 0330 de 2017 (RAS), Resolución 0631 de 2015 (vertimientos), CCP-14, artículos 17 y 23 de la Ley 1150 de 2007, artículo 50 de la Ley 789 de 2002 y artículo 2060 del Código Civil. Revíselas en el texto oficial antes de una evaluación formal.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1"/>
    <w:lvlOverride w:ilvl="0">
      <w:startOverride w:val="6"/>
    </w:lvlOverride>
  </w:num>
  <w:num w:numId="10">
    <w:abstractNumId w:val="0"/>
  </w:num>
  <w:num w:numId="11">
    <w:abstractNumId w:val="0"/>
  </w:num>
  <w:num w:numId="12">
    <w:abstractNumId w:val="0"/>
  </w:num>
  <w:num w:numId="13">
    <w:abstractNumId w:val="1"/>
    <w:lvlOverride w:ilvl="0">
      <w:startOverride w:val="9"/>
    </w:lvlOverride>
  </w:num>
  <w:num w:numId="14">
    <w:abstractNumId w:val="0"/>
  </w:num>
  <w:num w:numId="15">
    <w:abstractNumId w:val="0"/>
  </w:num>
  <w:num w:numId="16">
    <w:abstractNumId w:val="0"/>
  </w:num>
  <w:num w:numId="17">
    <w:abstractNumId w:val="0"/>
  </w:num>
  <w:num w:numId="18">
    <w:abstractNumId w:val="1"/>
    <w:lvlOverride w:ilvl="0">
      <w:startOverride w:val="13"/>
    </w:lvlOverride>
  </w:num>
  <w:num w:numId="19">
    <w:abstractNumId w:val="0"/>
  </w:num>
  <w:num w:numId="20">
    <w:abstractNumId w:val="0"/>
  </w:num>
  <w:num w:numId="21">
    <w:abstractNumId w:val="0"/>
  </w:num>
  <w:num w:numId="22">
    <w:abstractNumId w:val="0"/>
  </w:num>
  <w:num w:numId="23">
    <w:abstractNumId w:val="1"/>
    <w:lvlOverride w:ilvl="0">
      <w:startOverride w:val="17"/>
    </w:lvlOverride>
  </w:num>
  <w:num w:numId="24">
    <w:abstractNumId w:val="0"/>
  </w:num>
  <w:num w:numId="25">
    <w:abstractNumId w:val="0"/>
  </w:num>
  <w:num w:numId="26">
    <w:abstractNumId w:val="0"/>
  </w:num>
  <w:num w:numId="27">
    <w:abstractNumId w:val="0"/>
  </w:num>
  <w:num w:numId="28">
    <w:abstractNumId w:val="0"/>
  </w:num>
  <w:num w:numId="29">
    <w:abstractNumId w:val="1"/>
    <w:lvlOverride w:ilvl="0">
      <w:startOverride w:val="22"/>
    </w:lvlOverride>
  </w:num>
  <w:num w:numId="30">
    <w:abstractNumId w:val="0"/>
  </w:num>
  <w:num w:numId="31">
    <w:abstractNumId w:val="0"/>
  </w:num>
  <w:num w:numId="32">
    <w:abstractNumId w:val="0"/>
  </w:num>
  <w:num w:numId="33">
    <w:abstractNumId w:val="0"/>
  </w:num>
  <w:num w:numId="34">
    <w:abstractNumId w:val="1"/>
    <w:lvlOverride w:ilvl="0">
      <w:startOverride w:val="1"/>
    </w:lvlOverride>
  </w:num>
  <w:num w:numId="35">
    <w:abstractNumId w:val="1"/>
    <w:lvlOverride w:ilvl="0">
      <w:startOverride w:val="1"/>
    </w:lvlOverride>
  </w:num>
  <w:num w:numId="36">
    <w:abstractNumId w:val="1"/>
    <w:lvlOverride w:ilvl="0">
      <w:startOverride w:val="1"/>
    </w:lvlOverride>
  </w:num>
  <w:num w:numId="37">
    <w:abstractNumId w:val="1"/>
    <w:lvlOverride w:ilvl="0">
      <w:startOverride w:val="1"/>
    </w:lvlOverride>
  </w:num>
  <w:num w:numId="38">
    <w:abstractNumId w:val="1"/>
    <w:lvlOverride w:ilvl="0">
      <w:startOverride w:val="1"/>
    </w:lvlOverride>
  </w:num>
  <w:num w:numId="39">
    <w:abstractNumId w:val="1"/>
    <w:lvlOverride w:ilvl="0">
      <w:startOverride w:val="1"/>
    </w:lvlOverride>
  </w:num>
  <w:num w:numId="40">
    <w:abstractNumId w:val="0"/>
  </w:num>
  <w:num w:numId="41">
    <w:abstractNumId w:val="1"/>
    <w:lvlOverride w:ilvl="0">
      <w:startOverride w:val="1"/>
    </w:lvlOverride>
  </w:num>
  <w:num w:numId="42">
    <w:abstractNumId w:val="0"/>
  </w:num>
  <w:num w:numId="43">
    <w:abstractNumId w:val="1"/>
    <w:lvlOverride w:ilvl="0">
      <w:startOverride w:val="1"/>
    </w:lvlOverride>
  </w:num>
  <w:num w:numId="44">
    <w:abstractNumId w:val="0"/>
  </w:num>
  <w:num w:numId="45">
    <w:abstractNumId w:val="1"/>
    <w:lvlOverride w:ilvl="0">
      <w:startOverride w:val="1"/>
    </w:lvlOverride>
  </w:num>
  <w:num w:numId="46">
    <w:abstractNumId w:val="1"/>
    <w:lvlOverride w:ilvl="0">
      <w:startOverride w:val="1"/>
    </w:lvlOverride>
  </w:num>
  <w:num w:numId="47">
    <w:abstractNumId w:val="1"/>
    <w:lvlOverride w:ilvl="0">
      <w:startOverride w:val="1"/>
    </w:lvlOverride>
  </w:num>
  <w:num w:numId="48">
    <w:abstractNumId w:val="1"/>
    <w:lvlOverride w:ilvl="0">
      <w:startOverride w:val="1"/>
    </w:lvlOverride>
  </w:num>
  <w:num w:numId="49">
    <w:abstractNumId w:val="1"/>
    <w:lvlOverride w:ilvl="0">
      <w:startOverride w:val="1"/>
    </w:lvlOverride>
  </w:num>
  <w:num w:numId="50">
    <w:abstractNumId w:val="1"/>
    <w:lvlOverride w:ilvl="0">
      <w:startOverride w:val="1"/>
    </w:lvlOverride>
  </w:num>
  <w:num w:numId="51">
    <w:abstractNumId w:val="1"/>
    <w:lvlOverride w:ilvl="0">
      <w:startOverride w:val="1"/>
    </w:lvlOverride>
  </w:num>
  <w:num w:numId="52">
    <w:abstractNumId w:val="0"/>
  </w:num>
  <w:num w:numId="53">
    <w:abstractNumId w:val="0"/>
  </w:num>
  <w:num w:numId="54">
    <w:abstractNumId w:val="0"/>
  </w:num>
  <w:num w:numId="55">
    <w:abstractNumId w:val="0"/>
  </w:num>
  <w:num w:numId="56">
    <w:abstractNumId w:val="0"/>
  </w:num>
  <w:num w:numId="57">
    <w:abstractNumId w:val="0"/>
  </w:num>
  <w:num w:numId="58">
    <w:abstractNumId w:val="0"/>
  </w:num>
  <w:num w:numId="59">
    <w:abstractNumId w:val="0"/>
  </w:num>
  <w:num w:numId="60">
    <w:abstractNumId w:val="0"/>
  </w:num>
  <w:num w:numId="61">
    <w:abstractNumId w:val="0"/>
  </w:num>
  <w:num w:numId="6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relatoria.colombiacompra.gov.co/conceptos/c-839-de-2025/" TargetMode="External"/><Relationship Id="rId5" Type="http://schemas.openxmlformats.org/officeDocument/2006/relationships/hyperlink" Target="https://idpc.gov.co/Transparencia/Control%20Interno/2023/Cartelera/AUTO_ARCHIVO_DEFI_AUTO_007-2023_EXP_IDPC_001-2020.pdf" TargetMode="External"/><Relationship Id="rId6" Type="http://schemas.openxmlformats.org/officeDocument/2006/relationships/hyperlink" Target="https://relatoria.colombiacompra.gov.co/wp-content/uploads/2025/07/C-845.docx" TargetMode="External"/><Relationship Id="rId7" Type="http://schemas.openxmlformats.org/officeDocument/2006/relationships/hyperlink" Target="https://ambitojuridico.com/sites/default/files/BancoMedios/Archivos/sent-c-512-13.doc" TargetMode="External"/><Relationship Id="rId8" Type="http://schemas.openxmlformats.org/officeDocument/2006/relationships/hyperlink" Target="https://relatoria.colombiacompra.gov.co/conceptos/c-487-de-2024/" TargetMode="External"/><Relationship Id="rId9" Type="http://schemas.openxmlformats.org/officeDocument/2006/relationships/hyperlink" Target="https://relatoria.colombiacompra.gov.co/wp-content/uploads/2024/11/C-713.docx" TargetMode="External"/><Relationship Id="rId10" Type="http://schemas.openxmlformats.org/officeDocument/2006/relationships/hyperlink" Target="https://relatoria.colombiacompra.gov.co/wp-content/uploads/2025/05/C-451.docx" TargetMode="External"/><Relationship Id="rId11" Type="http://schemas.openxmlformats.org/officeDocument/2006/relationships/hyperlink" Target="https://relatoria.colombiacompra.gov.co/wp-content/uploads/2024/05/1655840029175-C-335.docx" TargetMode="External"/><Relationship Id="rId12" Type="http://schemas.openxmlformats.org/officeDocument/2006/relationships/hyperlink" Target="https://operaciones.colombiacompra.gov.co/sites/cce_public/files/documentos_adicionales_oc/la_secretaria_general_de_colombia_compra_eficiente.pdf" TargetMode="External"/><Relationship Id="rId13" Type="http://schemas.openxmlformats.org/officeDocument/2006/relationships/hyperlink" Target="https://colmenaseguros.com/documents/d/guest/abece-resolucion-4272-de-2021" TargetMode="External"/><Relationship Id="rId14" Type="http://schemas.openxmlformats.org/officeDocument/2006/relationships/hyperlink" Target="https://normas.cra.gov.co/gestor/docs/resolucion_minambienteds_1257_2021.htm" TargetMode="External"/><Relationship Id="rId15" Type="http://schemas.openxmlformats.org/officeDocument/2006/relationships/hyperlink" Target="https://normas.cra.gov.co/gestor/docs/resolucion_minviviendact_0501_2017.htm" TargetMode="External"/><Relationship Id="rId16" Type="http://schemas.openxmlformats.org/officeDocument/2006/relationships/hyperlink" Target="https://www.anla.gov.co/wanla/eureka/normativa/decretos/decreto-reglamentario-138-de-2019-patrimonio-arqueologico-programa-de-arqueologia-preventiva-pap-instituto-colombiano-de-antropologia-e-historia-icanh" TargetMode="External"/><Relationship Id="rId17" Type="http://schemas.openxmlformats.org/officeDocument/2006/relationships/hyperlink" Target="https://normas.cra.gov.co/gestor/docs/ley_1796_2016.htm" TargetMode="External"/><Relationship Id="rId18" Type="http://schemas.openxmlformats.org/officeDocument/2006/relationships/hyperlink" Target="https://curaduria3bogota.com/wp-content/uploads/2025/11/RES-11001-3-25-2771.pdf" TargetMode="External"/><Relationship Id="rId19" Type="http://schemas.openxmlformats.org/officeDocument/2006/relationships/hyperlink" Target="https://gaia.gobiernobogota.gov.co/sites/default/files/sig/procedimientos/gco-gth-p005_v5.pdf" TargetMode="External"/><Relationship Id="rId20" Type="http://schemas.openxmlformats.org/officeDocument/2006/relationships/hyperlink" Target="https://www.corteconstitucional.gov.co/relatoria/2012/C-620-12.htm" TargetMode="External"/><Relationship Id="rId21" Type="http://schemas.openxmlformats.org/officeDocument/2006/relationships/hyperlink" Target="https://normograma.supersalud.gov.co/compilacion/docs/decreto_1278_2021.htm" TargetMode="External"/><Relationship Id="rId22" Type="http://schemas.openxmlformats.org/officeDocument/2006/relationships/hyperlink" Target="https://www.anla.gov.co/wanla/eureka/normativa/leyes/ley-2387-de-2024-procedimiento-sancionatorio-ambiental"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Examen de controles de interventoría en obra pública</dc:title>
  <dc:description>Claude Docs node/18d9cef5-a8d3@28 docx-w7</dc:description>
  <cp:revision>28</cp:revision>
</cp:coreProperties>
</file>