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7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Найбільша користь тест-менеджменту полягає у тому, що це допомагає учасникам команди взаємодіяти один з одним, планувати, розробляти, виконувати та оцінювати всі дії з тестування. Певні середовища (програми) дозволяють полегшити роботу учасникам команди, що допоможе забезпечити хорошу якість тестування.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Другий рівень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Тест-кейси в TestRail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20T16:43:21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Прийнято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