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ETX-260902-0505 and ETX-260914-0470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  <w:trHeight w:val="220" w:hRule="atLeast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  <w:rFonts w:ascii="Times New Roman" w:hAnsi="Times New Roman" w:cs="Times New Roman"/>
              </w:rPr>
              <w:t>Processing</w:t>
            </w:r>
            <w:r w:rsidRPr="00352132">
              <w:rPr>
                <w:bCs/>
                <w:sz w:val="14"/>
                <w:szCs w:val="14"/>
                <w:rFonts w:ascii="Times New Roman" w:hAnsi="Times New Roman" w:cs="Times New Roman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/>
                <w:sz w:val="14"/>
                <w:rFonts w:ascii="Times New Roman" w:hAnsi="Times New Roman" w:cs="Times New Roman"/>
              </w:rPr>
              <w:t>Reading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  <w:rFonts w:ascii="Times New Roman" w:hAnsi="Times New Roman" w:cs="Times New Roman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  <w:trHeight w:val="220" w:hRule="atLeast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sz w:val="14"/>
                <w:szCs w:val="14"/>
                <w:rFonts w:ascii="Times New Roman" w:hAnsi="Times New Roman" w:cs="Times New Roman"/>
              </w:rPr>
              <w:t xml:space="preserve">Alex Saravia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 w:val="0"/>
                <w:sz w:val="14"/>
                <w:rFonts w:ascii="Times New Roman" w:hAnsi="Times New Roman" w:cs="Times New Roman"/>
              </w:rPr>
              <w:t xml:space="preserve">Elysse Nioupin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ETX-260902-0505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ETX-260910-0290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  <w:rFonts w:ascii="Times New Roman" w:hAnsi="Times New Roman" w:cs="Times New Roman"/>
              </w:rPr>
              <w:t xml:space="preserve">1 x 100mL TSB bottle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i/>
                <w:iCs/>
                <w:sz w:val="14"/>
                <w:szCs w:val="14"/>
                <w:rFonts w:ascii="Times New Roman" w:hAnsi="Times New Roman" w:cs="Times New Roman"/>
              </w:rPr>
              <w:t>Microbacterium sp. PM5</w:t>
            </w:r>
            <w:r>
              <w:rPr>
                <w:sz w:val="14"/>
                <w:szCs w:val="14"/>
                <w:rFonts w:ascii="Times New Roman" w:hAnsi="Times New Roman" w:cs="Times New Roman"/>
              </w:rPr>
              <w:br/>
              <w:t>(Gram (+) rods)</w:t>
            </w:r>
          </w:p>
        </w:tc>
      </w:tr>
      <w:tr>
        <w:trPr>
          <w:trHeight w:val="220" w:hRule="atLeast"/>
        </w:trPr>
        <w:tc>
          <w:tcPr>
            <w:tcW w:type="dxa" w:w="155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Abayomi Odugbesi</w:t>
            </w:r>
          </w:p>
        </w:tc>
        <w:tc>
          <w:tcPr>
            <w:tcW w:type="dxa" w:w="155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Andrew Carrillo</w:t>
            </w:r>
          </w:p>
        </w:tc>
        <w:tc>
          <w:tcPr>
            <w:tcW w:type="dxa" w:w="140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9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ETX-260914-0470</w:t>
              </w:r>
            </w:hyperlink>
          </w:p>
        </w:tc>
        <w:tc>
          <w:tcPr>
            <w:tcW w:type="dxa" w:w="140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10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ETX-260921-0498</w:t>
              </w:r>
            </w:hyperlink>
          </w:p>
        </w:tc>
        <w:tc>
          <w:tcPr>
            <w:tcW w:type="dxa" w:w="154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 x 100mL TSB bottle</w:t>
            </w:r>
          </w:p>
        </w:tc>
        <w:tc>
          <w:tcPr>
            <w:tcW w:type="dxa" w:w="1900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i/>
                <w:iCs/>
                <w:sz w:val="14"/>
                <w:szCs w:val="14"/>
                <w:rFonts w:ascii="Times New Roman" w:hAnsi="Times New Roman" w:cs="Times New Roman"/>
              </w:rPr>
              <w:t>Microbacterium sp. PM5</w:t>
            </w:r>
            <w:r>
              <w:rPr>
                <w:sz w:val="14"/>
                <w:szCs w:val="14"/>
                <w:rFonts w:ascii="Times New Roman" w:hAnsi="Times New Roman" w:cs="Times New Roman"/>
              </w:rPr>
              <w:br/>
              <w:t>(Gram (+) short rods)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04Sep26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03Sep26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08Sep26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2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11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ETX-260914-0487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i/>
                <w:iCs/>
                <w:sz w:val="13"/>
                <w:szCs w:val="13"/>
                <w:rFonts w:ascii="Times New Roman" w:hAnsi="Times New Roman" w:cs="Times New Roman"/>
              </w:rPr>
              <w:t>Corynebacterium ureicelerivorans</w:t>
            </w:r>
          </w:p>
          <w:p>
            <w:pPr>
              <w:jc w:val="center"/>
              <w:spacing w:before="0" w:after="0" w:line="120" w:lineRule="auto"/>
              <w:rPr>
                <w:rFonts w:ascii="Times New Roman" w:hAnsi="Times New Roman"/>
                <w:sz w:val="13"/>
                <w:szCs w:val="13"/>
              </w:rPr>
            </w:pPr>
          </w:p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i/>
                <w:iCs/>
                <w:sz w:val="13"/>
                <w:szCs w:val="13"/>
                <w:rFonts w:ascii="Times New Roman" w:hAnsi="Times New Roman" w:cs="Times New Roman"/>
              </w:rPr>
              <w:t>Mycobacterium grossiae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p>
      <w:pPr>
        <w:spacing w:before="0" w:after="0"/>
      </w:pPr>
      <w:r>
        <w:br w:type="page"/>
      </w:r>
    </w:p>
    <w:p>
      <w:pPr>
        <w:spacing w:before="0" w:after="160"/>
        <w:rPr>
          <w:rFonts w:ascii="Times New Roman" w:hAnsi="Times New Roman"/>
          <w:bCs/>
          <w:sz w:val="18"/>
          <w:szCs w:val="18"/>
          <w:u w:val="single"/>
        </w:rPr>
      </w:pPr>
      <w:r>
        <w:rPr>
          <w:rFonts w:ascii="Times New Roman" w:hAnsi="Times New Roman"/>
          <w:bCs/>
          <w:sz w:val="18"/>
          <w:szCs w:val="18"/>
          <w:u w:val="single"/>
        </w:rPr>
        <w:t>Table 3: Environmental Monitoring from Processing Performed on 15Sep26</w:t>
      </w: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10Sep26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634F6010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15Sep26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7F9134A6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16Sep26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3C7AA427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10Sep26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1C095F4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15Sep26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74150F0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16Sep26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231FB9D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10Sep26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4239C6E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15Sep26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693C1A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16Sep26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AO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  <w:tr w:rsidR="004174A6" w14:paraId="57A38D3C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12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ETX-260921-0520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i/>
                <w:iCs/>
                <w:sz w:val="13"/>
                <w:szCs w:val="13"/>
                <w:rFonts w:ascii="Times New Roman" w:hAnsi="Times New Roman" w:cs="Times New Roman"/>
              </w:rPr>
              <w:t>Micrococcus luteus</w:t>
            </w:r>
            <w:r>
              <w:rPr>
                <w:sz w:val="13"/>
                <w:szCs w:val="13"/>
                <w:rFonts w:ascii="Times New Roman" w:hAnsi="Times New Roman" w:cs="Times New Roman"/>
              </w:rPr>
              <w:br/>
              <w:t>(Gram (+) cocci)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sz w:val="14"/>
                <w:szCs w:val="14"/>
                <w:rFonts w:ascii="Times New Roman" w:hAnsi="Times New Roman" w:cs="Times New Roman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%247Ydn%24JOiYgmsnaKjbxn-g__" TargetMode="External"/><Relationship Id="rId8" Type="http://schemas.openxmlformats.org/officeDocument/2006/relationships/hyperlink" Target="https://etrax.eagleanalytical.com/Submission/Details?id=oZa2TD1UI-0eAJOFysBJ3A__" TargetMode="External"/><Relationship Id="rId9" Type="http://schemas.openxmlformats.org/officeDocument/2006/relationships/hyperlink" Target="https://etrax.eagleanalytical.com/Submission/Details/18rFOYVWqrO0Afk1OwB2hg__" TargetMode="External"/><Relationship Id="rId10" Type="http://schemas.openxmlformats.org/officeDocument/2006/relationships/hyperlink" Target="https://etrax.eagleanalytical.com/Submission/Details/7K%24JgQe6bduNBFY3pBa03w__" TargetMode="External"/><Relationship Id="rId11" Type="http://schemas.openxmlformats.org/officeDocument/2006/relationships/hyperlink" Target="https://etrax.eagleanalytical.com/SubmissionTest/Details/fd3G2StZClcy1TP2ES6BLw__" TargetMode="External"/><Relationship Id="rId12" Type="http://schemas.openxmlformats.org/officeDocument/2006/relationships/hyperlink" Target="https://etrax.eagleanalytical.com/SubmissionTest/Details/qnwcLQO5BWeJhWCBG7jl8Q__#TestDetai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