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analyst_name }}</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test_date }}</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r>
              <w:t>{{ date_initiated }}</w:t>
            </w: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r>
              <w:t>{{ date_of_incident }}</w:t>
            </w: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r>
              <w:t>Environmental Monitoring</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1B600BEE" w:rsidR="00E92F71" w:rsidRPr="00A9525F" w:rsidRDefault="00A9525F" w:rsidP="00D66BF2">
            <w:pPr>
              <w:outlineLvl w:val="0"/>
              <w:rPr>
                <w:rFonts w:ascii="Times New Roman" w:eastAsiaTheme="minorEastAsia" w:hAnsi="Times New Roman"/>
                <w:bCs/>
                <w:sz w:val="22"/>
                <w:szCs w:val="22"/>
                <w:lang w:eastAsia="zh-CN"/>
              </w:rPr>
            </w:pPr>
            <w:r>
              <w:rPr>
                <w:rFonts w:ascii="Times New Roman" w:hAnsi="Times New Roman"/>
                <w:bCs/>
                <w:sz w:val="22"/>
                <w:szCs w:val="22"/>
              </w:rPr>
              <w:t>{{ sample_id }}</w:t>
            </w:r>
          </w:p>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client_name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prepper_name }}</w:t>
            </w:r>
            <w:r w:rsidRPr="00BA7279">
              <w:rPr>
                <w:rFonts w:ascii="Times New Roman" w:hAnsi="Times New Roman"/>
                <w:bCs/>
                <w:sz w:val="22"/>
                <w:szCs w:val="22"/>
              </w:rPr>
              <w:t xml:space="preserve"> </w:t>
            </w:r>
            <w:r w:rsidR="008D39D7">
              <w:rPr>
                <w:rFonts w:ascii="Times New Roman" w:hAnsi="Times New Roman"/>
                <w:bCs/>
                <w:sz w:val="22"/>
                <w:szCs w:val="22"/>
              </w:rPr>
              <w:t>(</w:t>
            </w:r>
            <w:r w:rsidR="008D39D7" w:rsidRPr="008D39D7">
              <w:rPr>
                <w:rFonts w:ascii="Times New Roman" w:hAnsi="Times New Roman"/>
                <w:bCs/>
                <w:sz w:val="22"/>
                <w:szCs w:val="22"/>
              </w:rPr>
              <w:t xml:space="preserve">{{ </w:t>
            </w:r>
            <w:r w:rsidR="008D39D7">
              <w:rPr>
                <w:rFonts w:ascii="Times New Roman" w:hAnsi="Times New Roman"/>
                <w:bCs/>
                <w:sz w:val="22"/>
                <w:szCs w:val="22"/>
              </w:rPr>
              <w:t>prepper</w:t>
            </w:r>
            <w:r w:rsidR="008D39D7" w:rsidRPr="008D39D7">
              <w:rPr>
                <w:rFonts w:ascii="Times New Roman" w:hAnsi="Times New Roman"/>
                <w:bCs/>
                <w:sz w:val="22"/>
                <w:szCs w:val="22"/>
              </w:rPr>
              <w:t>_initial }})</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analyst_name }}</w:t>
            </w:r>
            <w:r w:rsidR="008D39D7">
              <w:rPr>
                <w:rFonts w:ascii="Times New Roman" w:hAnsi="Times New Roman"/>
                <w:bCs/>
                <w:sz w:val="22"/>
                <w:szCs w:val="22"/>
              </w:rPr>
              <w:t xml:space="preserve"> (</w:t>
            </w:r>
            <w:r w:rsidR="008D39D7" w:rsidRPr="008D39D7">
              <w:rPr>
                <w:rFonts w:ascii="Times New Roman" w:hAnsi="Times New Roman"/>
                <w:bCs/>
                <w:sz w:val="22"/>
                <w:szCs w:val="22"/>
              </w:rPr>
              <w:t>{{ analyst_initial }})</w:t>
            </w:r>
          </w:p>
          <w:p w14:paraId="2688072C" w14:textId="77777777" w:rsidR="000E1C2E" w:rsidRDefault="000E1C2E" w:rsidP="00075131">
            <w:pPr>
              <w:outlineLvl w:val="0"/>
              <w:rPr>
                <w:rFonts w:ascii="Times New Roman" w:hAnsi="Times New Roman"/>
                <w:bCs/>
                <w:sz w:val="22"/>
                <w:szCs w:val="22"/>
              </w:rPr>
            </w:pPr>
          </w:p>
          <w:p w14:paraId="366910F6" w14:textId="7FFBBB96" w:rsidR="000E1C2E" w:rsidRDefault="000E1C2E" w:rsidP="00075131">
            <w:pPr>
              <w:outlineLvl w:val="0"/>
              <w:rPr>
                <w:rFonts w:ascii="Times New Roman" w:hAnsi="Times New Roman"/>
                <w:bCs/>
                <w:sz w:val="22"/>
                <w:szCs w:val="22"/>
              </w:rPr>
            </w:pPr>
            <w:r>
              <w:rPr>
                <w:rFonts w:ascii="Times New Roman" w:hAnsi="Times New Roman"/>
                <w:bCs/>
                <w:sz w:val="22"/>
                <w:szCs w:val="22"/>
              </w:rPr>
              <w:t>Changeover Processor:</w:t>
            </w:r>
          </w:p>
          <w:p w14:paraId="12C2471C" w14:textId="5C846C72" w:rsidR="000E1C2E" w:rsidRDefault="00F602DE" w:rsidP="00075131">
            <w:pPr>
              <w:outlineLvl w:val="0"/>
              <w:rPr>
                <w:rFonts w:ascii="Times New Roman" w:hAnsi="Times New Roman"/>
                <w:bCs/>
                <w:sz w:val="22"/>
                <w:szCs w:val="22"/>
              </w:rPr>
            </w:pPr>
            <w:r>
              <w:rPr>
                <w:rFonts w:ascii="Times New Roman" w:hAnsi="Times New Roman"/>
                <w:bCs/>
                <w:sz w:val="22"/>
                <w:szCs w:val="22"/>
              </w:rPr>
              <w:t>{{ changeover_name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changeover</w:t>
            </w:r>
            <w:r w:rsidR="0099173B" w:rsidRPr="008D39D7">
              <w:rPr>
                <w:rFonts w:ascii="Times New Roman" w:hAnsi="Times New Roman"/>
                <w:bCs/>
                <w:sz w:val="22"/>
                <w:szCs w:val="22"/>
              </w:rPr>
              <w:t>_initial }})</w:t>
            </w:r>
          </w:p>
          <w:p w14:paraId="5678EA73" w14:textId="77777777" w:rsidR="00446797" w:rsidRPr="00BA7279" w:rsidRDefault="00446797" w:rsidP="00F57392">
            <w:pPr>
              <w:outlineLvl w:val="0"/>
              <w:rPr>
                <w:rFonts w:ascii="Times New Roman" w:hAnsi="Times New Roman"/>
                <w:bCs/>
                <w:sz w:val="22"/>
                <w:szCs w:val="22"/>
              </w:rPr>
            </w:pPr>
          </w:p>
          <w:p w14:paraId="3A387B8D" w14:textId="77777777"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Reader:</w:t>
            </w:r>
          </w:p>
          <w:p w14:paraId="16A4CC30" w14:textId="38954F54" w:rsidR="00772C19" w:rsidRPr="000D6FC6" w:rsidRDefault="00A9525F" w:rsidP="000D6FC6">
            <w:pPr>
              <w:outlineLvl w:val="0"/>
              <w:rPr>
                <w:rFonts w:ascii="Times New Roman" w:eastAsiaTheme="minorEastAsia" w:hAnsi="Times New Roman"/>
                <w:bCs/>
                <w:sz w:val="22"/>
                <w:szCs w:val="22"/>
                <w:lang w:eastAsia="zh-CN"/>
              </w:rPr>
            </w:pPr>
            <w:r>
              <w:rPr>
                <w:rFonts w:ascii="Times New Roman" w:hAnsi="Times New Roman"/>
                <w:bCs/>
                <w:sz w:val="22"/>
                <w:szCs w:val="22"/>
              </w:rPr>
              <w:t xml:space="preserve">{{ </w:t>
            </w:r>
            <w:r w:rsidR="00F602DE">
              <w:rPr>
                <w:rFonts w:ascii="Times New Roman" w:hAnsi="Times New Roman"/>
                <w:bCs/>
                <w:sz w:val="22"/>
                <w:szCs w:val="22"/>
              </w:rPr>
              <w:t>reader</w:t>
            </w:r>
            <w:r>
              <w:rPr>
                <w:rFonts w:ascii="Times New Roman" w:hAnsi="Times New Roman"/>
                <w:bCs/>
                <w:sz w:val="22"/>
                <w:szCs w:val="22"/>
              </w:rPr>
              <w:t>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reader</w:t>
            </w:r>
            <w:r w:rsidR="0099173B" w:rsidRPr="008D39D7">
              <w:rPr>
                <w:rFonts w:ascii="Times New Roman" w:hAnsi="Times New Roman"/>
                <w:bCs/>
                <w:sz w:val="22"/>
                <w:szCs w:val="22"/>
              </w:rPr>
              <w:t>_initial }})</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sample_name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lot_number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dosage_form}}</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496E69B2" w14:textId="77777777" w:rsidR="00E54A59" w:rsidRDefault="002D3FAD" w:rsidP="000C49BF">
            <w:pPr>
              <w:outlineLvl w:val="0"/>
              <w:rPr>
                <w:rFonts w:ascii="Times New Roman" w:eastAsiaTheme="minorEastAsia" w:hAnsi="Times New Roman"/>
                <w:bCs/>
                <w:sz w:val="22"/>
                <w:szCs w:val="22"/>
                <w:lang w:eastAsia="zh-CN"/>
              </w:rPr>
            </w:pPr>
            <w:r w:rsidRPr="00BA7279">
              <w:rPr>
                <w:rFonts w:ascii="Times New Roman" w:hAnsi="Times New Roman"/>
                <w:bCs/>
                <w:sz w:val="22"/>
                <w:szCs w:val="22"/>
              </w:rPr>
              <w:t xml:space="preserve">On </w:t>
            </w:r>
            <w:r w:rsidR="00A9525F">
              <w:rPr>
                <w:rFonts w:ascii="Times New Roman" w:hAnsi="Times New Roman"/>
                <w:bCs/>
                <w:sz w:val="22"/>
                <w:szCs w:val="22"/>
              </w:rPr>
              <w:t>{{ test_date }}</w:t>
            </w:r>
            <w:r w:rsidRPr="00BA7279">
              <w:rPr>
                <w:rFonts w:ascii="Times New Roman" w:hAnsi="Times New Roman"/>
                <w:bCs/>
                <w:sz w:val="22"/>
                <w:szCs w:val="22"/>
              </w:rPr>
              <w:t xml:space="preserve">, </w:t>
            </w:r>
            <w:r w:rsidR="004658F3" w:rsidRPr="00BA7279">
              <w:rPr>
                <w:rFonts w:ascii="Times New Roman" w:hAnsi="Times New Roman"/>
                <w:bCs/>
                <w:sz w:val="22"/>
                <w:szCs w:val="22"/>
              </w:rPr>
              <w:t xml:space="preserve">sample </w:t>
            </w:r>
            <w:r w:rsidR="00A9525F">
              <w:rPr>
                <w:rFonts w:ascii="Times New Roman" w:hAnsi="Times New Roman"/>
                <w:bCs/>
                <w:sz w:val="22"/>
                <w:szCs w:val="22"/>
              </w:rPr>
              <w:t>{{ sample_id }}</w:t>
            </w:r>
            <w:r w:rsidR="008C146E">
              <w:rPr>
                <w:rFonts w:ascii="Times New Roman" w:eastAsiaTheme="minorEastAsia" w:hAnsi="Times New Roman" w:hint="eastAsia"/>
                <w:bCs/>
                <w:sz w:val="22"/>
                <w:szCs w:val="22"/>
                <w:lang w:eastAsia="zh-CN"/>
              </w:rPr>
              <w:t xml:space="preserve"> </w:t>
            </w:r>
            <w:r w:rsidR="00BB1BA7" w:rsidRPr="00BA7279">
              <w:rPr>
                <w:rFonts w:ascii="Times New Roman" w:hAnsi="Times New Roman"/>
                <w:bCs/>
                <w:sz w:val="22"/>
                <w:szCs w:val="22"/>
              </w:rPr>
              <w:t>was</w:t>
            </w:r>
            <w:r w:rsidR="004658F3" w:rsidRPr="00BA7279">
              <w:rPr>
                <w:rFonts w:ascii="Times New Roman" w:hAnsi="Times New Roman"/>
                <w:bCs/>
                <w:sz w:val="22"/>
                <w:szCs w:val="22"/>
              </w:rPr>
              <w:t xml:space="preserve"> found</w:t>
            </w:r>
            <w:r w:rsidRPr="00BA7279">
              <w:rPr>
                <w:rFonts w:ascii="Times New Roman" w:hAnsi="Times New Roman"/>
                <w:bCs/>
                <w:sz w:val="22"/>
                <w:szCs w:val="22"/>
              </w:rPr>
              <w:t xml:space="preserve"> positive for </w:t>
            </w:r>
            <w:r w:rsidR="000E2C2E" w:rsidRPr="00BA7279">
              <w:rPr>
                <w:rFonts w:ascii="Times New Roman" w:hAnsi="Times New Roman"/>
                <w:bCs/>
                <w:sz w:val="22"/>
                <w:szCs w:val="22"/>
              </w:rPr>
              <w:t>viable</w:t>
            </w:r>
            <w:r w:rsidR="008C146E">
              <w:rPr>
                <w:rFonts w:ascii="Times New Roman" w:eastAsiaTheme="minorEastAsia" w:hAnsi="Times New Roman" w:hint="eastAsia"/>
                <w:bCs/>
                <w:sz w:val="22"/>
                <w:szCs w:val="22"/>
                <w:lang w:eastAsia="zh-CN"/>
              </w:rPr>
              <w:t xml:space="preserve"> </w:t>
            </w:r>
            <w:r w:rsidR="00973CD7" w:rsidRPr="00BA7279">
              <w:rPr>
                <w:rFonts w:ascii="Times New Roman" w:hAnsi="Times New Roman"/>
                <w:bCs/>
                <w:sz w:val="22"/>
                <w:szCs w:val="22"/>
              </w:rPr>
              <w:t>microorganisms</w:t>
            </w:r>
            <w:r w:rsidR="000E2C2E" w:rsidRPr="00BA7279">
              <w:rPr>
                <w:rFonts w:ascii="Times New Roman" w:hAnsi="Times New Roman"/>
                <w:bCs/>
                <w:sz w:val="22"/>
                <w:szCs w:val="22"/>
              </w:rPr>
              <w:t xml:space="preserve"> after ScanRDI</w:t>
            </w:r>
            <w:r w:rsidR="00706A10" w:rsidRPr="00BA7279">
              <w:rPr>
                <w:rFonts w:ascii="Times New Roman" w:hAnsi="Times New Roman"/>
                <w:bCs/>
                <w:sz w:val="22"/>
                <w:szCs w:val="22"/>
              </w:rPr>
              <w:t xml:space="preserve"> testin</w:t>
            </w:r>
            <w:r w:rsidR="000E2C2E" w:rsidRPr="00BA7279">
              <w:rPr>
                <w:rFonts w:ascii="Times New Roman" w:hAnsi="Times New Roman"/>
                <w:bCs/>
                <w:sz w:val="22"/>
                <w:szCs w:val="22"/>
              </w:rPr>
              <w:t xml:space="preserve">g. </w:t>
            </w:r>
          </w:p>
          <w:p w14:paraId="56116281" w14:textId="77777777" w:rsidR="001713C9" w:rsidRPr="001713C9" w:rsidRDefault="001713C9" w:rsidP="000C49BF">
            <w:pPr>
              <w:outlineLvl w:val="0"/>
              <w:rPr>
                <w:rFonts w:ascii="Times New Roman" w:eastAsiaTheme="minorEastAsia" w:hAnsi="Times New Roman"/>
                <w:bCs/>
                <w:sz w:val="22"/>
                <w:szCs w:val="22"/>
                <w:lang w:eastAsia="zh-CN"/>
              </w:rPr>
            </w:pPr>
          </w:p>
          <w:p w14:paraId="1A4113AE" w14:textId="059F6C2C" w:rsidR="001713C9" w:rsidRPr="001713C9" w:rsidRDefault="001713C9" w:rsidP="000C49BF">
            <w:pPr>
              <w:outlineLvl w:val="0"/>
              <w:rPr>
                <w:rFonts w:ascii="Times New Roman" w:eastAsiaTheme="minorEastAsia" w:hAnsi="Times New Roman"/>
                <w:bCs/>
                <w:color w:val="000000"/>
                <w:sz w:val="22"/>
                <w:szCs w:val="22"/>
                <w:shd w:val="clear" w:color="auto" w:fill="FFFFFF"/>
                <w:lang w:eastAsia="zh-CN"/>
              </w:rPr>
            </w:pP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r>
              <w:t>SOP / Test Method #:</w:t>
              <w:br/>
              <w:t>2.600.002 (10)</w:t>
              <w:br/>
              <w:t>2.700.004 (03)</w:t>
              <w:br/>
            </w: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r>
              <w:t>Date:</w:t>
              <w:br/>
              <w:t>{{ date_initiated }}</w:t>
              <w:br/>
            </w: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74FC6BF3"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analysts </w:t>
            </w:r>
            <w:r w:rsidR="00A4683E">
              <w:rPr>
                <w:rFonts w:ascii="Times New Roman" w:hAnsi="Times New Roman"/>
                <w:bCs/>
                <w:sz w:val="22"/>
                <w:szCs w:val="22"/>
              </w:rPr>
              <w:t xml:space="preserve">{{ prepper_name }}, </w:t>
            </w:r>
            <w:r w:rsidR="00A9525F">
              <w:rPr>
                <w:rFonts w:ascii="Times New Roman" w:hAnsi="Times New Roman"/>
                <w:bCs/>
                <w:sz w:val="22"/>
                <w:szCs w:val="22"/>
              </w:rPr>
              <w:t>{{ analyst_name }}</w:t>
            </w:r>
            <w:r w:rsidR="009A6571" w:rsidRPr="00BA7279">
              <w:rPr>
                <w:rFonts w:ascii="Times New Roman" w:hAnsi="Times New Roman"/>
                <w:bCs/>
                <w:sz w:val="22"/>
                <w:szCs w:val="22"/>
              </w:rPr>
              <w:t xml:space="preserve"> </w:t>
            </w:r>
            <w:r w:rsidR="00A4683E">
              <w:rPr>
                <w:rFonts w:ascii="Times New Roman" w:hAnsi="Times New Roman"/>
                <w:bCs/>
                <w:sz w:val="22"/>
                <w:szCs w:val="22"/>
              </w:rPr>
              <w:t xml:space="preserve">and {{ reader_name }} </w:t>
            </w:r>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3FC2974"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A9525F">
              <w:rPr>
                <w:rFonts w:ascii="Times New Roman" w:hAnsi="Times New Roman"/>
                <w:bCs/>
                <w:sz w:val="22"/>
                <w:szCs w:val="22"/>
              </w:rPr>
              <w:t>{{ sample_id }}</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r>
              <w:t>Yes, as per SOP 2.600.002, 2.700.004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r>
              <w:t>Yes, as per SOP 2.600.002,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04787D02"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5428607" w:rsidRPr="00BA7279">
              <w:rPr>
                <w:rFonts w:ascii="Times New Roman" w:hAnsi="Times New Roman"/>
                <w:sz w:val="22"/>
                <w:szCs w:val="22"/>
              </w:rPr>
              <w:t xml:space="preserve">See </w:t>
            </w:r>
            <w:r w:rsidR="00A4683E">
              <w:rPr>
                <w:rFonts w:ascii="Times New Roman" w:hAnsi="Times New Roman"/>
                <w:bCs/>
                <w:sz w:val="22"/>
                <w:szCs w:val="22"/>
              </w:rPr>
              <w:t>{{ test_record }}</w:t>
            </w:r>
            <w:r w:rsidR="00A4683E" w:rsidRPr="00BA7279">
              <w:rPr>
                <w:rFonts w:ascii="Times New Roman" w:hAnsi="Times New Roman"/>
                <w:bCs/>
                <w:sz w:val="22"/>
                <w:szCs w:val="22"/>
              </w:rPr>
              <w:t xml:space="preserve"> </w:t>
            </w:r>
            <w:r w:rsidR="00E86B4C" w:rsidRPr="00BA7279">
              <w:rPr>
                <w:rFonts w:ascii="Times New Roman" w:hAnsi="Times New Roman"/>
                <w:sz w:val="22"/>
                <w:szCs w:val="22"/>
              </w:rPr>
              <w:t>for more information.</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4DF89680"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Information is available in Eagle Trax Sample Location History under </w:t>
            </w:r>
            <w:r w:rsidR="00A9525F">
              <w:rPr>
                <w:rFonts w:ascii="Times New Roman" w:hAnsi="Times New Roman"/>
                <w:bCs/>
                <w:sz w:val="22"/>
                <w:szCs w:val="22"/>
              </w:rPr>
              <w:t>{{ sample_id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 control_positive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control_lot }}</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control_data }}</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5309010B" w:rsidR="00183CD4" w:rsidRPr="00953B77" w:rsidRDefault="00183CD4" w:rsidP="00183CD4">
            <w:pPr>
              <w:jc w:val="center"/>
              <w:outlineLvl w:val="0"/>
              <w:rPr>
                <w:rFonts w:ascii="Times New Roman" w:hAnsi="Times New Roman"/>
                <w:b/>
                <w:sz w:val="22"/>
                <w:szCs w:val="22"/>
                <w:highlight w:val="yellow"/>
              </w:rPr>
            </w:pPr>
            <w:r w:rsidRPr="001125CD">
              <w:rPr>
                <w:rFonts w:ascii="Times New Roman" w:hAnsi="Times New Roman"/>
                <w:sz w:val="22"/>
                <w:szCs w:val="22"/>
              </w:rPr>
              <w:t>E00</w:t>
            </w:r>
            <w:r w:rsidR="00804329" w:rsidRPr="00804329">
              <w:rPr>
                <w:rFonts w:ascii="Times New Roman" w:hAnsi="Times New Roman"/>
                <w:sz w:val="22"/>
                <w:szCs w:val="22"/>
              </w:rPr>
              <w:t>{{ scan_id }}</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0F968B34" w:rsidR="005F2327" w:rsidRPr="00953B77" w:rsidRDefault="00804329" w:rsidP="0034318C">
            <w:pPr>
              <w:jc w:val="center"/>
              <w:outlineLvl w:val="0"/>
              <w:rPr>
                <w:rFonts w:ascii="Times New Roman" w:eastAsiaTheme="minorEastAsia" w:hAnsi="Times New Roman"/>
                <w:sz w:val="22"/>
                <w:szCs w:val="22"/>
                <w:highlight w:val="yellow"/>
                <w:lang w:eastAsia="zh-CN"/>
              </w:rPr>
            </w:pPr>
            <w:r w:rsidRPr="00804329">
              <w:rPr>
                <w:rFonts w:ascii="Times New Roman" w:hAnsi="Times New Roman"/>
                <w:sz w:val="22"/>
                <w:szCs w:val="22"/>
              </w:rPr>
              <w:t>E00{{ cr_id }} (CR{{ cr_suit }})</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0F0E1B5" w:rsidR="00C63E4C" w:rsidRPr="00953B77" w:rsidRDefault="00C63E4C" w:rsidP="00C63E4C">
            <w:pPr>
              <w:jc w:val="center"/>
              <w:outlineLvl w:val="0"/>
              <w:rPr>
                <w:rFonts w:ascii="Times New Roman" w:hAnsi="Times New Roman"/>
                <w:sz w:val="22"/>
                <w:szCs w:val="22"/>
                <w:highlight w:val="yellow"/>
              </w:rPr>
            </w:pPr>
            <w:r w:rsidRPr="001125CD">
              <w:rPr>
                <w:rFonts w:ascii="Times New Roman" w:hAnsi="Times New Roman"/>
                <w:sz w:val="22"/>
                <w:szCs w:val="22"/>
              </w:rPr>
              <w:t>E00</w:t>
            </w:r>
            <w:r w:rsidR="00C04942" w:rsidRPr="00C04942">
              <w:rPr>
                <w:rFonts w:ascii="Times New Roman" w:hAnsi="Times New Roman"/>
                <w:sz w:val="22"/>
                <w:szCs w:val="22"/>
              </w:rPr>
              <w:t>{{ scan_id }}</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r>
              <w:t xml:space="preserve">Phase I Summary: </w:t>
              <w:br/>
              <w:br/>
              <w:t xml:space="preserve">All analysts involved in the prepping, processing, and reading of the samples – {{ prepper_name }}, {{ analyst_name }} and {{ reader_name }} – were interviewed and their answers are recorded throughout this document. </w:t>
              <w:br/>
              <w:br/>
              <w:t>The sample was stored upon arrival according to the Client’s instructions. Analysts {{ prepper_name }} and {{ analyst_name }} confirmed the integrity of the samples throughout both the preparation and processing stages. No leaks or turbidity were observed at any point, verifying the integrity of the sample.</w:t>
              <w:br/>
              <w:br/>
              <w:t xml:space="preserve">All reagents and supplies mentioned in the material section above were stored according to the suppliers’ recommendations, and their integrity was visually verified before utilization. Moreover, each reagent and supply had valid expiration dates. </w:t>
              <w:br/>
              <w:br/>
              <w:t>During the preparation phase, {{ prepper_name }} disinfected the samples using acidified bleach and placed them into a pre-disinfected storage bin. On {{ test_date }}, prior to sample processing, {{ analyst_name }} performed a second disinfection with acidified bleach, allowing a minimum contact time of 10 minutes before transferring the samples into the cleanroom suites. A final disinfection step was completed immediately before the samples were introduced into the ISO 5 Biological Safety Cabinet (BSC), E00{{ bsc_id }}, located within the {{ bsc_location }}, (Suite {{ cr_suit }}{{ suit }}), All activities were performed in accordance with SOP 2.600.002, Rapid Scan RDI® Test Using FIFU Method.</w:t>
              <w:br/>
              <w:br/>
              <w:t>{{ equipment_summary }}</w:t>
              <w:br/>
              <w:br/>
              <w:t>The analyst, {{ reader_name }}, confirmed that the equipment was set up as per SOP 2.700.004 (Scan RDI® System – Operations (Standard C3 Quality Check and Microscope Setup and Maintenance), and the negative control and the positive control for the analyst, {{ reader_name }}, yielded expected results.</w:t>
              <w:br/>
              <w:br/>
              <w:t>On {{ test_date }}, a rapid sterility test was conducted on the sample using the ScanRDI method. The sample was initially prepared by Analyst {{ prepper_name }}, processed by {{ analyst_name }}, and subsequently read by {{ analyst_name }}. The test revealed {{ confirm_number }} {{ organism_morphology }}-shaped viable microorganisms, see table 1.</w:t>
              <w:br/>
              <w:br/>
              <w:t>Table 2 (see attached table) presents the environmental monitoring results for {{ sample_id }}. The environmental monitoring (EM) plates were incubated for no less than 48 hours at 30-35°C and no less than an additional five days at 20-25°C as per SOP 2.600.002 (Environmental Monitoring of the Clean-room Facility).</w:t>
              <w:br/>
              <w:br/>
              <w:t>{{ narrative_summary }}</w:t>
              <w:br/>
              <w:br/>
              <w:t xml:space="preserve">Monthly cleaning and disinfection, using H₂O₂, of the cleanroom (ISO 7) and its containing Biosafety Cabinets (BSCs, ISO 5) were performed on {{ monthly_cleaning_date }}, as per SOP 2.600.018 Cleaning and Disinfection Procedure. It was documented that all H₂O₂ indicators passed. </w:t>
              <w:br/>
              <w:br/>
              <w:t>{{ sample_history_paragraph }}</w:t>
              <w:br/>
              <w:br/>
              <w:t>To assess the potential for sample-to-sample contamination contributing to the positive results, a comprehensive review was conducted of all samples processed on the same day. {{ cross_contamination_summary }}</w:t>
              <w:br/>
              <w:br/>
              <w:t>Based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br/>
            </w: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lastRenderedPageBreak/>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C468A35" w14:textId="77777777" w:rsidR="008F6AB8" w:rsidRDefault="008F6AB8" w:rsidP="009E0535">
      <w:pPr>
        <w:outlineLvl w:val="0"/>
        <w:rPr>
          <w:rFonts w:eastAsiaTheme="minorEastAsia"/>
          <w:lang w:eastAsia="zh-CN"/>
        </w:rPr>
      </w:pPr>
    </w:p>
    <w:p w14:paraId="1B4BEA98" w14:textId="77777777" w:rsidR="00FB28D7" w:rsidRPr="0065448E" w:rsidRDefault="00FB28D7" w:rsidP="00FB28D7">
      <w:pPr>
        <w:outlineLvl w:val="0"/>
        <w:rPr>
          <w:rFonts w:ascii="Times New Roman" w:hAnsi="Times New Roman"/>
          <w:sz w:val="18"/>
          <w:szCs w:val="18"/>
          <w:u w:val="single"/>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sample_id }}</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p w14:paraId="20D0721D" w14:textId="77777777" w:rsidR="00FB28D7" w:rsidRDefault="00FB28D7" w:rsidP="00FB28D7">
      <w:pPr>
        <w:outlineLvl w:val="0"/>
        <w:rPr>
          <w:rFonts w:ascii="Times New Roman" w:hAnsi="Times New Roman"/>
          <w:bCs/>
          <w:sz w:val="18"/>
          <w:szCs w:val="18"/>
          <w:u w:val="single"/>
        </w:rPr>
      </w:pPr>
    </w:p>
    <w:p w14:paraId="77B682BF" w14:textId="77777777" w:rsidR="00FB28D7" w:rsidRPr="00E14337" w:rsidRDefault="00FB28D7" w:rsidP="00FB28D7">
      <w:pPr>
        <w:spacing w:after="160"/>
        <w:outlineLvl w:val="0"/>
        <w:rPr>
          <w:rFonts w:ascii="Times New Roman" w:eastAsiaTheme="minorEastAsia" w:hAnsi="Times New Roman" w:cstheme="minorBidi"/>
          <w:bCs/>
          <w:sz w:val="18"/>
          <w:szCs w:val="18"/>
          <w:u w:val="single"/>
          <w:lang w:eastAsia="ja-JP"/>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test_date }}</w:t>
      </w:r>
    </w:p>
    <w:p w14:paraId="2FC2CCC7" w14:textId="77777777" w:rsidR="00FB28D7" w:rsidRDefault="00FB28D7" w:rsidP="00FB28D7">
      <w:pPr>
        <w:rPr>
          <w:rFonts w:ascii="Times New Roman" w:hAnsi="Times New Roman"/>
          <w:sz w:val="14"/>
          <w:szCs w:val="14"/>
        </w:rPr>
      </w:pPr>
    </w:p>
    <w:p w14:paraId="281DDFC6" w14:textId="77777777" w:rsidR="009E0535" w:rsidRDefault="009E0535" w:rsidP="009E0535">
      <w:pPr>
        <w:outlineLvl w:val="0"/>
        <w:rPr>
          <w:rFonts w:eastAsiaTheme="minorEastAsia"/>
          <w:lang w:eastAsia="zh-CN"/>
        </w:rPr>
      </w:pPr>
    </w:p>
    <w:p>
      <w:r>
        <w:rPr>
          <w:rFonts w:ascii="Arial" w:hAnsi="Arial"/>
          <w:b/>
          <w:sz w:val="19"/>
        </w:rPr>
        <w:t>Table 1: Read Dates &amp; Incubation Observation</w:t>
      </w:r>
    </w:p>
    <w:p/>
    <w:p>
      <w:r>
        <w:rPr>
          <w:rFonts w:ascii="Arial" w:hAnsi="Arial"/>
          <w:b/>
          <w:sz w:val="19"/>
        </w:rPr>
        <w:t>Table 2: Environmental Monitoring for Analyst &amp; Cleanroom</w:t>
      </w: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tbl xmlns:mo="http://schemas.microsoft.com/office/mac/office/2008/main" xmlns:mv="urn:schemas-microsoft-com:mac:vm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350"/>
        <w:gridCol w:w="1350"/>
        <w:gridCol w:w="1350"/>
        <w:gridCol w:w="1350"/>
        <w:gridCol w:w="1350"/>
        <w:gridCol w:w="1350"/>
        <w:gridCol w:w="1350"/>
        <w:gridCol w:w="1350"/>
      </w:tblGrid>
      <w:tr>
        <w:tc>
          <w:tcPr>
            <w:tcW w:type="dxa" w:w="1350"/>
            <w:shd w:fill="D9D9D9"/>
            <w:tcMar>
              <w:top w:w="60" w:type="dxa"/>
              <w:bottom w:w="60" w:type="dxa"/>
              <w:left w:w="60" w:type="dxa"/>
              <w:right w:w="60" w:type="dxa"/>
            </w:tcMar>
          </w:tcPr>
          <w:p>
            <w:pPr>
              <w:jc w:val="center"/>
            </w:pPr>
            <w:r>
              <w:rPr>
                <w:rFonts w:ascii="Arial" w:hAnsi="Arial"/>
                <w:b/>
                <w:sz w:val="16"/>
              </w:rPr>
              <w:t>ETX Submission ID</w:t>
            </w:r>
          </w:p>
        </w:tc>
        <w:tc>
          <w:tcPr>
            <w:tcW w:type="dxa" w:w="1350"/>
            <w:shd w:fill="D9D9D9"/>
            <w:tcMar>
              <w:top w:w="60" w:type="dxa"/>
              <w:bottom w:w="60" w:type="dxa"/>
              <w:left w:w="60" w:type="dxa"/>
              <w:right w:w="60" w:type="dxa"/>
            </w:tcMar>
          </w:tcPr>
          <w:p>
            <w:pPr>
              <w:jc w:val="center"/>
            </w:pPr>
            <w:r>
              <w:rPr>
                <w:rFonts w:ascii="Arial" w:hAnsi="Arial"/>
                <w:b/>
                <w:sz w:val="16"/>
              </w:rPr>
              <w:t>Set-up Analyst &amp; Date</w:t>
            </w:r>
          </w:p>
        </w:tc>
        <w:tc>
          <w:tcPr>
            <w:tcW w:type="dxa" w:w="1350"/>
            <w:shd w:fill="D9D9D9"/>
            <w:tcMar>
              <w:top w:w="60" w:type="dxa"/>
              <w:bottom w:w="60" w:type="dxa"/>
              <w:left w:w="60" w:type="dxa"/>
              <w:right w:w="60" w:type="dxa"/>
            </w:tcMar>
          </w:tcPr>
          <w:p>
            <w:pPr>
              <w:jc w:val="center"/>
            </w:pPr>
            <w:r>
              <w:rPr>
                <w:rFonts w:ascii="Arial" w:hAnsi="Arial"/>
                <w:b/>
                <w:sz w:val="16"/>
              </w:rPr>
              <w:t>Sampling Site &amp; Location</w:t>
            </w:r>
          </w:p>
        </w:tc>
        <w:tc>
          <w:tcPr>
            <w:tcW w:type="dxa" w:w="1350"/>
            <w:shd w:fill="D9D9D9"/>
            <w:tcMar>
              <w:top w:w="60" w:type="dxa"/>
              <w:bottom w:w="60" w:type="dxa"/>
              <w:left w:w="60" w:type="dxa"/>
              <w:right w:w="60" w:type="dxa"/>
            </w:tcMar>
          </w:tcPr>
          <w:p>
            <w:pPr>
              <w:jc w:val="center"/>
            </w:pPr>
            <w:r>
              <w:rPr>
                <w:rFonts w:ascii="Arial" w:hAnsi="Arial"/>
                <w:b/>
                <w:sz w:val="16"/>
              </w:rPr>
              <w:t>Plate Reading Analyst (≥ 48H)</w:t>
            </w:r>
          </w:p>
        </w:tc>
        <w:tc>
          <w:tcPr>
            <w:tcW w:type="dxa" w:w="1350"/>
            <w:shd w:fill="D9D9D9"/>
            <w:tcMar>
              <w:top w:w="60" w:type="dxa"/>
              <w:bottom w:w="60" w:type="dxa"/>
              <w:left w:w="60" w:type="dxa"/>
              <w:right w:w="60" w:type="dxa"/>
            </w:tcMar>
          </w:tcPr>
          <w:p>
            <w:pPr>
              <w:jc w:val="center"/>
            </w:pPr>
            <w:r>
              <w:rPr>
                <w:rFonts w:ascii="Arial" w:hAnsi="Arial"/>
                <w:b/>
                <w:sz w:val="16"/>
              </w:rPr>
              <w:t>CFUs Observed after 48 Hour Incubation at 30–35°C (E001031)</w:t>
            </w:r>
          </w:p>
        </w:tc>
        <w:tc>
          <w:tcPr>
            <w:tcW w:type="dxa" w:w="1350"/>
            <w:shd w:fill="D9D9D9"/>
            <w:tcMar>
              <w:top w:w="60" w:type="dxa"/>
              <w:bottom w:w="60" w:type="dxa"/>
              <w:left w:w="60" w:type="dxa"/>
              <w:right w:w="60" w:type="dxa"/>
            </w:tcMar>
          </w:tcPr>
          <w:p>
            <w:pPr>
              <w:jc w:val="center"/>
            </w:pPr>
            <w:r>
              <w:rPr>
                <w:rFonts w:ascii="Arial" w:hAnsi="Arial"/>
                <w:b/>
                <w:sz w:val="16"/>
              </w:rPr>
              <w:t>Plate Reading Analyst (NLT 5 days)</w:t>
            </w:r>
          </w:p>
        </w:tc>
        <w:tc>
          <w:tcPr>
            <w:tcW w:type="dxa" w:w="1350"/>
            <w:shd w:fill="D9D9D9"/>
            <w:tcMar>
              <w:top w:w="60" w:type="dxa"/>
              <w:bottom w:w="60" w:type="dxa"/>
              <w:left w:w="60" w:type="dxa"/>
              <w:right w:w="60" w:type="dxa"/>
            </w:tcMar>
          </w:tcPr>
          <w:p>
            <w:pPr>
              <w:jc w:val="center"/>
            </w:pPr>
            <w:r>
              <w:rPr>
                <w:rFonts w:ascii="Arial" w:hAnsi="Arial"/>
                <w:b/>
                <w:sz w:val="16"/>
              </w:rPr>
              <w:t>CFUs Observed after NLT 5-day Incubation at 20–25°C (E001034)</w:t>
            </w:r>
          </w:p>
        </w:tc>
        <w:tc>
          <w:tcPr>
            <w:tcW w:type="dxa" w:w="1350"/>
            <w:shd w:fill="D9D9D9"/>
            <w:tcMar>
              <w:top w:w="60" w:type="dxa"/>
              <w:bottom w:w="60" w:type="dxa"/>
              <w:left w:w="60" w:type="dxa"/>
              <w:right w:w="60" w:type="dxa"/>
            </w:tcMar>
          </w:tcPr>
          <w:p>
            <w:pPr>
              <w:jc w:val="center"/>
            </w:pPr>
            <w:r>
              <w:rPr>
                <w:rFonts w:ascii="Arial" w:hAnsi="Arial"/>
                <w:b/>
                <w:sz w:val="16"/>
              </w:rPr>
              <w:t>Microbial Identification</w:t>
            </w:r>
          </w:p>
        </w:tc>
      </w:tr>
      <w:tr>
        <w:tc>
          <w:tcPr>
            <w:tcW w:type="dxa" w:w="1350"/>
            <w:tcMar>
              <w:top w:w="50" w:type="dxa"/>
              <w:bottom w:w="50" w:type="dxa"/>
              <w:left w:w="50" w:type="dxa"/>
              <w:right w:w="50" w:type="dxa"/>
            </w:tcMar>
          </w:tcPr>
          <w:p>
            <w:pPr>
              <w:jc w:val="center"/>
            </w:pPr>
            <w:r>
              <w:rPr>
                <w:rFonts w:ascii="Arial" w:hAnsi="Arial"/>
                <w:sz w:val="16"/>
              </w:rPr>
              <w:t>{{ etx_id }}</w:t>
            </w:r>
          </w:p>
        </w:tc>
        <w:tc>
          <w:tcPr>
            <w:tcW w:type="dxa" w:w="1350"/>
            <w:tcMar>
              <w:top w:w="50" w:type="dxa"/>
              <w:bottom w:w="50" w:type="dxa"/>
              <w:left w:w="50" w:type="dxa"/>
              <w:right w:w="50" w:type="dxa"/>
            </w:tcMar>
          </w:tcPr>
          <w:p>
            <w:pPr>
              <w:jc w:val="center"/>
            </w:pPr>
            <w:r>
              <w:rPr>
                <w:rFonts w:ascii="Arial" w:hAnsi="Arial"/>
                <w:sz w:val="16"/>
              </w:rPr>
              <w:t>{{ setup_analyst_initial }} {{ test_date }}</w:t>
            </w:r>
          </w:p>
        </w:tc>
        <w:tc>
          <w:tcPr>
            <w:tcW w:type="dxa" w:w="1350"/>
            <w:tcMar>
              <w:top w:w="50" w:type="dxa"/>
              <w:bottom w:w="50" w:type="dxa"/>
              <w:left w:w="50" w:type="dxa"/>
              <w:right w:w="50" w:type="dxa"/>
            </w:tcMar>
          </w:tcPr>
          <w:p>
            <w:pPr>
              <w:jc w:val="center"/>
            </w:pPr>
            <w:r>
              <w:rPr>
                <w:rFonts w:ascii="Arial" w:hAnsi="Arial"/>
                <w:sz w:val="16"/>
              </w:rPr>
              <w:t>{{ sampling_location }}</w:t>
            </w:r>
          </w:p>
        </w:tc>
        <w:tc>
          <w:tcPr>
            <w:tcW w:type="dxa" w:w="1350"/>
            <w:tcMar>
              <w:top w:w="50" w:type="dxa"/>
              <w:bottom w:w="50" w:type="dxa"/>
              <w:left w:w="50" w:type="dxa"/>
              <w:right w:w="50" w:type="dxa"/>
            </w:tcMar>
          </w:tcPr>
          <w:p>
            <w:pPr>
              <w:jc w:val="center"/>
            </w:pPr>
            <w:r>
              <w:rPr>
                <w:rFonts w:ascii="Arial" w:hAnsi="Arial"/>
                <w:sz w:val="16"/>
              </w:rPr>
              <w:t>{{ reader_48h }}</w:t>
            </w:r>
          </w:p>
        </w:tc>
        <w:tc>
          <w:tcPr>
            <w:tcW w:type="dxa" w:w="1350"/>
            <w:tcMar>
              <w:top w:w="50" w:type="dxa"/>
              <w:bottom w:w="50" w:type="dxa"/>
              <w:left w:w="50" w:type="dxa"/>
              <w:right w:w="50" w:type="dxa"/>
            </w:tcMar>
          </w:tcPr>
          <w:p>
            <w:pPr>
              <w:jc w:val="center"/>
            </w:pPr>
            <w:r>
              <w:rPr>
                <w:rFonts w:ascii="Arial" w:hAnsi="Arial"/>
                <w:sz w:val="16"/>
              </w:rPr>
              <w:t>{{ cfu_obs_48h }}</w:t>
            </w:r>
          </w:p>
        </w:tc>
        <w:tc>
          <w:tcPr>
            <w:tcW w:type="dxa" w:w="1350"/>
            <w:tcMar>
              <w:top w:w="50" w:type="dxa"/>
              <w:bottom w:w="50" w:type="dxa"/>
              <w:left w:w="50" w:type="dxa"/>
              <w:right w:w="50" w:type="dxa"/>
            </w:tcMar>
          </w:tcPr>
          <w:p>
            <w:pPr>
              <w:jc w:val="center"/>
            </w:pPr>
            <w:r>
              <w:rPr>
                <w:rFonts w:ascii="Arial" w:hAnsi="Arial"/>
                <w:sz w:val="16"/>
              </w:rPr>
              <w:t>{{ reader_5d }}</w:t>
            </w:r>
          </w:p>
        </w:tc>
        <w:tc>
          <w:tcPr>
            <w:tcW w:type="dxa" w:w="1350"/>
            <w:tcMar>
              <w:top w:w="50" w:type="dxa"/>
              <w:bottom w:w="50" w:type="dxa"/>
              <w:left w:w="50" w:type="dxa"/>
              <w:right w:w="50" w:type="dxa"/>
            </w:tcMar>
          </w:tcPr>
          <w:p>
            <w:pPr>
              <w:jc w:val="center"/>
            </w:pPr>
            <w:r>
              <w:rPr>
                <w:rFonts w:ascii="Arial" w:hAnsi="Arial"/>
                <w:sz w:val="16"/>
              </w:rPr>
              <w:t>{{ cfu_obs_5d }}</w:t>
            </w:r>
          </w:p>
        </w:tc>
        <w:tc>
          <w:tcPr>
            <w:tcW w:type="dxa" w:w="1350"/>
            <w:tcMar>
              <w:top w:w="50" w:type="dxa"/>
              <w:bottom w:w="50" w:type="dxa"/>
              <w:left w:w="50" w:type="dxa"/>
              <w:right w:w="50" w:type="dxa"/>
            </w:tcMar>
          </w:tcPr>
          <w:p>
            <w:pPr>
              <w:jc w:val="left"/>
            </w:pPr>
            <w:r>
              <w:rPr>
                <w:rFonts w:ascii="Arial" w:hAnsi="Arial"/>
                <w:sz w:val="16"/>
              </w:rPr>
              <w:t>{{ microbial_id }}</w:t>
            </w:r>
          </w:p>
        </w:tc>
      </w:tr>
    </w:tbl>
    <w:tbl xmlns:mo="http://schemas.microsoft.com/office/mac/office/2008/main" xmlns:mv="urn:schemas-microsoft-com:mac:vm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200"/>
        <w:gridCol w:w="1200"/>
        <w:gridCol w:w="1200"/>
        <w:gridCol w:w="1200"/>
        <w:gridCol w:w="1200"/>
        <w:gridCol w:w="1200"/>
        <w:gridCol w:w="1200"/>
        <w:gridCol w:w="1200"/>
        <w:gridCol w:w="1200"/>
      </w:tblGrid>
      <w:tr>
        <w:tc>
          <w:tcPr>
            <w:tcW w:type="dxa" w:w="1200"/>
            <w:shd w:fill="D9D9D9"/>
            <w:tcMar>
              <w:top w:w="60" w:type="dxa"/>
              <w:bottom w:w="60" w:type="dxa"/>
              <w:left w:w="60" w:type="dxa"/>
              <w:right w:w="60" w:type="dxa"/>
            </w:tcMar>
          </w:tcPr>
          <w:p>
            <w:pPr>
              <w:jc w:val="center"/>
            </w:pPr>
            <w:r>
              <w:rPr>
                <w:rFonts w:ascii="Arial" w:hAnsi="Arial"/>
                <w:b/>
                <w:sz w:val="16"/>
              </w:rPr>
              <w:t>Environmental Monitoring (EM) Sampling Site</w:t>
            </w:r>
          </w:p>
        </w:tc>
        <w:tc>
          <w:tcPr>
            <w:tcW w:type="dxa" w:w="1200"/>
            <w:shd w:fill="D9D9D9"/>
            <w:tcMar>
              <w:top w:w="60" w:type="dxa"/>
              <w:bottom w:w="60" w:type="dxa"/>
              <w:left w:w="60" w:type="dxa"/>
              <w:right w:w="60" w:type="dxa"/>
            </w:tcMar>
          </w:tcPr>
          <w:p>
            <w:pPr>
              <w:jc w:val="center"/>
            </w:pPr>
            <w:r>
              <w:rPr>
                <w:rFonts w:ascii="Arial" w:hAnsi="Arial"/>
                <w:b/>
                <w:sz w:val="16"/>
              </w:rPr>
              <w:t>Frequency</w:t>
            </w:r>
          </w:p>
        </w:tc>
        <w:tc>
          <w:tcPr>
            <w:tcW w:type="dxa" w:w="1200"/>
            <w:shd w:fill="D9D9D9"/>
            <w:tcMar>
              <w:top w:w="60" w:type="dxa"/>
              <w:bottom w:w="60" w:type="dxa"/>
              <w:left w:w="60" w:type="dxa"/>
              <w:right w:w="60" w:type="dxa"/>
            </w:tcMar>
          </w:tcPr>
          <w:p>
            <w:pPr>
              <w:jc w:val="center"/>
            </w:pPr>
            <w:r>
              <w:rPr>
                <w:rFonts w:ascii="Arial" w:hAnsi="Arial"/>
                <w:b/>
                <w:sz w:val="16"/>
              </w:rPr>
              <w:t>Date (DDMMMYYYY)</w:t>
            </w:r>
          </w:p>
        </w:tc>
        <w:tc>
          <w:tcPr>
            <w:tcW w:type="dxa" w:w="1200"/>
            <w:shd w:fill="D9D9D9"/>
            <w:tcMar>
              <w:top w:w="60" w:type="dxa"/>
              <w:bottom w:w="60" w:type="dxa"/>
              <w:left w:w="60" w:type="dxa"/>
              <w:right w:w="60" w:type="dxa"/>
            </w:tcMar>
          </w:tcPr>
          <w:p>
            <w:pPr>
              <w:jc w:val="center"/>
            </w:pPr>
            <w:r>
              <w:rPr>
                <w:rFonts w:ascii="Arial" w:hAnsi="Arial"/>
                <w:b/>
                <w:sz w:val="16"/>
              </w:rPr>
              <w:t>Analyst (Initials)</w:t>
            </w:r>
          </w:p>
        </w:tc>
        <w:tc>
          <w:tcPr>
            <w:tcW w:type="dxa" w:w="1200"/>
            <w:shd w:fill="D9D9D9"/>
            <w:tcMar>
              <w:top w:w="60" w:type="dxa"/>
              <w:bottom w:w="60" w:type="dxa"/>
              <w:left w:w="60" w:type="dxa"/>
              <w:right w:w="60" w:type="dxa"/>
            </w:tcMar>
          </w:tcPr>
          <w:p>
            <w:pPr>
              <w:jc w:val="center"/>
            </w:pPr>
            <w:r>
              <w:rPr>
                <w:rFonts w:ascii="Arial" w:hAnsi="Arial"/>
                <w:b/>
                <w:sz w:val="16"/>
              </w:rPr>
              <w:t>Day /Week(s)</w:t>
            </w:r>
          </w:p>
        </w:tc>
        <w:tc>
          <w:tcPr>
            <w:tcW w:type="dxa" w:w="1200"/>
            <w:shd w:fill="D9D9D9"/>
            <w:tcMar>
              <w:top w:w="60" w:type="dxa"/>
              <w:bottom w:w="60" w:type="dxa"/>
              <w:left w:w="60" w:type="dxa"/>
              <w:right w:w="60" w:type="dxa"/>
            </w:tcMar>
          </w:tcPr>
          <w:p>
            <w:pPr>
              <w:jc w:val="center"/>
            </w:pPr>
            <w:r>
              <w:rPr>
                <w:rFonts w:ascii="Arial" w:hAnsi="Arial"/>
                <w:b/>
                <w:sz w:val="16"/>
              </w:rPr>
              <w:t>Observation</w:t>
            </w:r>
          </w:p>
        </w:tc>
        <w:tc>
          <w:tcPr>
            <w:tcW w:type="dxa" w:w="1200"/>
            <w:shd w:fill="D9D9D9"/>
            <w:tcMar>
              <w:top w:w="60" w:type="dxa"/>
              <w:bottom w:w="60" w:type="dxa"/>
              <w:left w:w="60" w:type="dxa"/>
              <w:right w:w="60" w:type="dxa"/>
            </w:tcMar>
          </w:tcPr>
          <w:p>
            <w:pPr>
              <w:jc w:val="center"/>
            </w:pPr>
            <w:r>
              <w:rPr>
                <w:rFonts w:ascii="Arial" w:hAnsi="Arial"/>
                <w:b/>
                <w:sz w:val="16"/>
              </w:rPr>
              <w:t>Environmental Monitoring Plate ETX ID</w:t>
            </w:r>
          </w:p>
        </w:tc>
        <w:tc>
          <w:tcPr>
            <w:tcW w:type="dxa" w:w="1200"/>
            <w:shd w:fill="D9D9D9"/>
            <w:tcMar>
              <w:top w:w="60" w:type="dxa"/>
              <w:bottom w:w="60" w:type="dxa"/>
              <w:left w:w="60" w:type="dxa"/>
              <w:right w:w="60" w:type="dxa"/>
            </w:tcMar>
          </w:tcPr>
          <w:p>
            <w:pPr>
              <w:jc w:val="center"/>
            </w:pPr>
            <w:r>
              <w:rPr>
                <w:rFonts w:ascii="Arial" w:hAnsi="Arial"/>
                <w:b/>
                <w:sz w:val="16"/>
              </w:rPr>
              <w:t>Microbial ID</w:t>
            </w:r>
          </w:p>
        </w:tc>
        <w:tc>
          <w:tcPr>
            <w:tcW w:type="dxa" w:w="1200"/>
            <w:shd w:fill="D9D9D9"/>
            <w:tcMar>
              <w:top w:w="60" w:type="dxa"/>
              <w:bottom w:w="60" w:type="dxa"/>
              <w:left w:w="60" w:type="dxa"/>
              <w:right w:w="60" w:type="dxa"/>
            </w:tcMar>
          </w:tcPr>
          <w:p>
            <w:pPr>
              <w:jc w:val="center"/>
            </w:pPr>
            <w:r>
              <w:rPr>
                <w:rFonts w:ascii="Arial" w:hAnsi="Arial"/>
                <w:b/>
                <w:sz w:val="16"/>
              </w:rPr>
              <w:t>Notes</w:t>
            </w:r>
          </w:p>
        </w:tc>
      </w:tr>
      <w:tr>
        <w:tc>
          <w:tcPr>
            <w:tcW w:type="dxa" w:w="10800"/>
            <w:gridSpan w:val="9"/>
            <w:shd w:fill="F2F2F2"/>
            <w:tcMar>
              <w:top w:w="40" w:type="dxa"/>
              <w:bottom w:w="40" w:type="dxa"/>
              <w:left w:w="60" w:type="dxa"/>
              <w:right w:w="60" w:type="dxa"/>
            </w:tcMar>
          </w:tcPr>
          <w:p>
            <w:pPr>
              <w:jc w:val="left"/>
            </w:pPr>
            <w:r>
              <w:rPr>
                <w:rFonts w:ascii="Arial" w:hAnsi="Arial"/>
                <w:b/>
                <w:sz w:val="16"/>
              </w:rPr>
              <w:t>Personnel EM Bracketing</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before_date }}</w:t>
            </w:r>
          </w:p>
        </w:tc>
        <w:tc>
          <w:tcPr>
            <w:tcW w:type="dxa" w:w="1200"/>
            <w:tcMar>
              <w:top w:w="40" w:type="dxa"/>
              <w:bottom w:w="40" w:type="dxa"/>
              <w:left w:w="50" w:type="dxa"/>
              <w:right w:w="50" w:type="dxa"/>
            </w:tcMar>
          </w:tcPr>
          <w:p>
            <w:pPr>
              <w:jc w:val="center"/>
            </w:pPr>
            <w:r>
              <w:rPr>
                <w:rFonts w:ascii="Arial" w:hAnsi="Arial"/>
                <w:sz w:val="16"/>
              </w:rPr>
              <w:t>{{ analyst_initial }}</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pers_obs_before }}</w:t>
            </w:r>
          </w:p>
        </w:tc>
        <w:tc>
          <w:tcPr>
            <w:tcW w:type="dxa" w:w="1200"/>
            <w:tcMar>
              <w:top w:w="40" w:type="dxa"/>
              <w:bottom w:w="40" w:type="dxa"/>
              <w:left w:w="50" w:type="dxa"/>
              <w:right w:w="50" w:type="dxa"/>
            </w:tcMar>
          </w:tcPr>
          <w:p>
            <w:pPr>
              <w:jc w:val="left"/>
            </w:pPr>
            <w:r>
              <w:rPr>
                <w:rFonts w:ascii="Arial" w:hAnsi="Arial"/>
                <w:sz w:val="16"/>
              </w:rPr>
              <w:t>{{ pers_etx_before }}</w:t>
            </w:r>
          </w:p>
        </w:tc>
        <w:tc>
          <w:tcPr>
            <w:tcW w:type="dxa" w:w="1200"/>
            <w:tcMar>
              <w:top w:w="40" w:type="dxa"/>
              <w:bottom w:w="40" w:type="dxa"/>
              <w:left w:w="50" w:type="dxa"/>
              <w:right w:w="50" w:type="dxa"/>
            </w:tcMar>
          </w:tcPr>
          <w:p>
            <w:pPr>
              <w:jc w:val="left"/>
            </w:pPr>
            <w:r>
              <w:rPr>
                <w:rFonts w:ascii="Arial" w:hAnsi="Arial"/>
                <w:sz w:val="16"/>
              </w:rPr>
              <w:t>{{ pers_id_before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test_date }}</w:t>
            </w:r>
          </w:p>
        </w:tc>
        <w:tc>
          <w:tcPr>
            <w:tcW w:type="dxa" w:w="1200"/>
            <w:tcMar>
              <w:top w:w="40" w:type="dxa"/>
              <w:bottom w:w="40" w:type="dxa"/>
              <w:left w:w="50" w:type="dxa"/>
              <w:right w:w="50" w:type="dxa"/>
            </w:tcMar>
          </w:tcPr>
          <w:p>
            <w:pPr>
              <w:jc w:val="center"/>
            </w:pPr>
            <w:r>
              <w:rPr>
                <w:rFonts w:ascii="Arial" w:hAnsi="Arial"/>
                <w:sz w:val="16"/>
              </w:rPr>
              <w:t>{{ analyst_initial }}</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pers_obs_during }}</w:t>
            </w:r>
          </w:p>
        </w:tc>
        <w:tc>
          <w:tcPr>
            <w:tcW w:type="dxa" w:w="1200"/>
            <w:tcMar>
              <w:top w:w="40" w:type="dxa"/>
              <w:bottom w:w="40" w:type="dxa"/>
              <w:left w:w="50" w:type="dxa"/>
              <w:right w:w="50" w:type="dxa"/>
            </w:tcMar>
          </w:tcPr>
          <w:p>
            <w:pPr>
              <w:jc w:val="left"/>
            </w:pPr>
            <w:r>
              <w:rPr>
                <w:rFonts w:ascii="Arial" w:hAnsi="Arial"/>
                <w:sz w:val="16"/>
              </w:rPr>
              <w:t>{{ pers_etx_during }}</w:t>
            </w:r>
          </w:p>
        </w:tc>
        <w:tc>
          <w:tcPr>
            <w:tcW w:type="dxa" w:w="1200"/>
            <w:tcMar>
              <w:top w:w="40" w:type="dxa"/>
              <w:bottom w:w="40" w:type="dxa"/>
              <w:left w:w="50" w:type="dxa"/>
              <w:right w:w="50" w:type="dxa"/>
            </w:tcMar>
          </w:tcPr>
          <w:p>
            <w:pPr>
              <w:jc w:val="left"/>
            </w:pPr>
            <w:r>
              <w:rPr>
                <w:rFonts w:ascii="Arial" w:hAnsi="Arial"/>
                <w:sz w:val="16"/>
              </w:rPr>
              <w:t>{{ pers_id_during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after_date }}</w:t>
            </w:r>
          </w:p>
        </w:tc>
        <w:tc>
          <w:tcPr>
            <w:tcW w:type="dxa" w:w="1200"/>
            <w:tcMar>
              <w:top w:w="40" w:type="dxa"/>
              <w:bottom w:w="40" w:type="dxa"/>
              <w:left w:w="50" w:type="dxa"/>
              <w:right w:w="50" w:type="dxa"/>
            </w:tcMar>
          </w:tcPr>
          <w:p>
            <w:pPr>
              <w:jc w:val="center"/>
            </w:pPr>
            <w:r>
              <w:rPr>
                <w:rFonts w:ascii="Arial" w:hAnsi="Arial"/>
                <w:sz w:val="16"/>
              </w:rPr>
              <w:t>{{ analyst_initial }}</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pers_obs_after }}</w:t>
            </w:r>
          </w:p>
        </w:tc>
        <w:tc>
          <w:tcPr>
            <w:tcW w:type="dxa" w:w="1200"/>
            <w:tcMar>
              <w:top w:w="40" w:type="dxa"/>
              <w:bottom w:w="40" w:type="dxa"/>
              <w:left w:w="50" w:type="dxa"/>
              <w:right w:w="50" w:type="dxa"/>
            </w:tcMar>
          </w:tcPr>
          <w:p>
            <w:pPr>
              <w:jc w:val="left"/>
            </w:pPr>
            <w:r>
              <w:rPr>
                <w:rFonts w:ascii="Arial" w:hAnsi="Arial"/>
                <w:sz w:val="16"/>
              </w:rPr>
              <w:t>{{ pers_etx_after }}</w:t>
            </w:r>
          </w:p>
        </w:tc>
        <w:tc>
          <w:tcPr>
            <w:tcW w:type="dxa" w:w="1200"/>
            <w:tcMar>
              <w:top w:w="40" w:type="dxa"/>
              <w:bottom w:w="40" w:type="dxa"/>
              <w:left w:w="50" w:type="dxa"/>
              <w:right w:w="50" w:type="dxa"/>
            </w:tcMar>
          </w:tcPr>
          <w:p>
            <w:pPr>
              <w:jc w:val="left"/>
            </w:pPr>
            <w:r>
              <w:rPr>
                <w:rFonts w:ascii="Arial" w:hAnsi="Arial"/>
                <w:sz w:val="16"/>
              </w:rPr>
              <w:t>{{ pers_id_after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Biological Safety Cabinet EM Bracketing Biological Safety Cabinet (BSC)</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before_date }}</w:t>
            </w:r>
          </w:p>
        </w:tc>
        <w:tc>
          <w:tcPr>
            <w:tcW w:type="dxa" w:w="1200"/>
            <w:tcMar>
              <w:top w:w="40" w:type="dxa"/>
              <w:bottom w:w="40" w:type="dxa"/>
              <w:left w:w="50" w:type="dxa"/>
              <w:right w:w="50" w:type="dxa"/>
            </w:tcMar>
          </w:tcPr>
          <w:p>
            <w:pPr>
              <w:jc w:val="center"/>
            </w:pPr>
            <w:r>
              <w:rPr>
                <w:rFonts w:ascii="Arial" w:hAnsi="Arial"/>
                <w:sz w:val="16"/>
              </w:rPr>
              <w:t>{{ bsc_surf_analyst_before }}</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bsc_surf_obs_before }}</w:t>
            </w:r>
          </w:p>
        </w:tc>
        <w:tc>
          <w:tcPr>
            <w:tcW w:type="dxa" w:w="1200"/>
            <w:tcMar>
              <w:top w:w="40" w:type="dxa"/>
              <w:bottom w:w="40" w:type="dxa"/>
              <w:left w:w="50" w:type="dxa"/>
              <w:right w:w="50" w:type="dxa"/>
            </w:tcMar>
          </w:tcPr>
          <w:p>
            <w:pPr>
              <w:jc w:val="left"/>
            </w:pPr>
            <w:r>
              <w:rPr>
                <w:rFonts w:ascii="Arial" w:hAnsi="Arial"/>
                <w:sz w:val="16"/>
              </w:rPr>
              <w:t>{{ bsc_surf_etx_before }}</w:t>
            </w:r>
          </w:p>
        </w:tc>
        <w:tc>
          <w:tcPr>
            <w:tcW w:type="dxa" w:w="1200"/>
            <w:tcMar>
              <w:top w:w="40" w:type="dxa"/>
              <w:bottom w:w="40" w:type="dxa"/>
              <w:left w:w="50" w:type="dxa"/>
              <w:right w:w="50" w:type="dxa"/>
            </w:tcMar>
          </w:tcPr>
          <w:p>
            <w:pPr>
              <w:jc w:val="left"/>
            </w:pPr>
            <w:r>
              <w:rPr>
                <w:rFonts w:ascii="Arial" w:hAnsi="Arial"/>
                <w:sz w:val="16"/>
              </w:rPr>
              <w:t>{{ bsc_surf_id_before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test_date }}</w:t>
            </w:r>
          </w:p>
        </w:tc>
        <w:tc>
          <w:tcPr>
            <w:tcW w:type="dxa" w:w="1200"/>
            <w:tcMar>
              <w:top w:w="40" w:type="dxa"/>
              <w:bottom w:w="40" w:type="dxa"/>
              <w:left w:w="50" w:type="dxa"/>
              <w:right w:w="50" w:type="dxa"/>
            </w:tcMar>
          </w:tcPr>
          <w:p>
            <w:pPr>
              <w:jc w:val="center"/>
            </w:pPr>
            <w:r>
              <w:rPr>
                <w:rFonts w:ascii="Arial" w:hAnsi="Arial"/>
                <w:sz w:val="16"/>
              </w:rPr>
              <w:t>{{ bsc_surf_analyst_during }}</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bsc_surf_obs_during }}</w:t>
            </w:r>
          </w:p>
        </w:tc>
        <w:tc>
          <w:tcPr>
            <w:tcW w:type="dxa" w:w="1200"/>
            <w:tcMar>
              <w:top w:w="40" w:type="dxa"/>
              <w:bottom w:w="40" w:type="dxa"/>
              <w:left w:w="50" w:type="dxa"/>
              <w:right w:w="50" w:type="dxa"/>
            </w:tcMar>
          </w:tcPr>
          <w:p>
            <w:pPr>
              <w:jc w:val="left"/>
            </w:pPr>
            <w:r>
              <w:rPr>
                <w:rFonts w:ascii="Arial" w:hAnsi="Arial"/>
                <w:sz w:val="16"/>
              </w:rPr>
              <w:t>{{ bsc_surf_etx_during }}</w:t>
            </w:r>
          </w:p>
        </w:tc>
        <w:tc>
          <w:tcPr>
            <w:tcW w:type="dxa" w:w="1200"/>
            <w:tcMar>
              <w:top w:w="40" w:type="dxa"/>
              <w:bottom w:w="40" w:type="dxa"/>
              <w:left w:w="50" w:type="dxa"/>
              <w:right w:w="50" w:type="dxa"/>
            </w:tcMar>
          </w:tcPr>
          <w:p>
            <w:pPr>
              <w:jc w:val="left"/>
            </w:pPr>
            <w:r>
              <w:rPr>
                <w:rFonts w:ascii="Arial" w:hAnsi="Arial"/>
                <w:sz w:val="16"/>
              </w:rPr>
              <w:t>{{ bsc_surf_id_during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after_date }}</w:t>
            </w:r>
          </w:p>
        </w:tc>
        <w:tc>
          <w:tcPr>
            <w:tcW w:type="dxa" w:w="1200"/>
            <w:tcMar>
              <w:top w:w="40" w:type="dxa"/>
              <w:bottom w:w="40" w:type="dxa"/>
              <w:left w:w="50" w:type="dxa"/>
              <w:right w:w="50" w:type="dxa"/>
            </w:tcMar>
          </w:tcPr>
          <w:p>
            <w:pPr>
              <w:jc w:val="center"/>
            </w:pPr>
            <w:r>
              <w:rPr>
                <w:rFonts w:ascii="Arial" w:hAnsi="Arial"/>
                <w:sz w:val="16"/>
              </w:rPr>
              <w:t>{{ bsc_surf_analyst_after }}</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bsc_surf_obs_after }}</w:t>
            </w:r>
          </w:p>
        </w:tc>
        <w:tc>
          <w:tcPr>
            <w:tcW w:type="dxa" w:w="1200"/>
            <w:tcMar>
              <w:top w:w="40" w:type="dxa"/>
              <w:bottom w:w="40" w:type="dxa"/>
              <w:left w:w="50" w:type="dxa"/>
              <w:right w:w="50" w:type="dxa"/>
            </w:tcMar>
          </w:tcPr>
          <w:p>
            <w:pPr>
              <w:jc w:val="left"/>
            </w:pPr>
            <w:r>
              <w:rPr>
                <w:rFonts w:ascii="Arial" w:hAnsi="Arial"/>
                <w:sz w:val="16"/>
              </w:rPr>
              <w:t>{{ bsc_surf_etx_after }}</w:t>
            </w:r>
          </w:p>
        </w:tc>
        <w:tc>
          <w:tcPr>
            <w:tcW w:type="dxa" w:w="1200"/>
            <w:tcMar>
              <w:top w:w="40" w:type="dxa"/>
              <w:bottom w:w="40" w:type="dxa"/>
              <w:left w:w="50" w:type="dxa"/>
              <w:right w:w="50" w:type="dxa"/>
            </w:tcMar>
          </w:tcPr>
          <w:p>
            <w:pPr>
              <w:jc w:val="left"/>
            </w:pPr>
            <w:r>
              <w:rPr>
                <w:rFonts w:ascii="Arial" w:hAnsi="Arial"/>
                <w:sz w:val="16"/>
              </w:rPr>
              <w:t>{{ bsc_surf_id_after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before_date }}</w:t>
            </w:r>
          </w:p>
        </w:tc>
        <w:tc>
          <w:tcPr>
            <w:tcW w:type="dxa" w:w="1200"/>
            <w:tcMar>
              <w:top w:w="40" w:type="dxa"/>
              <w:bottom w:w="40" w:type="dxa"/>
              <w:left w:w="50" w:type="dxa"/>
              <w:right w:w="50" w:type="dxa"/>
            </w:tcMar>
          </w:tcPr>
          <w:p>
            <w:pPr>
              <w:jc w:val="center"/>
            </w:pPr>
            <w:r>
              <w:rPr>
                <w:rFonts w:ascii="Arial" w:hAnsi="Arial"/>
                <w:sz w:val="16"/>
              </w:rPr>
              <w:t>{{ bsc_sett_analyst_before }}</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bsc_sett_obs_before }}</w:t>
            </w:r>
          </w:p>
        </w:tc>
        <w:tc>
          <w:tcPr>
            <w:tcW w:type="dxa" w:w="1200"/>
            <w:tcMar>
              <w:top w:w="40" w:type="dxa"/>
              <w:bottom w:w="40" w:type="dxa"/>
              <w:left w:w="50" w:type="dxa"/>
              <w:right w:w="50" w:type="dxa"/>
            </w:tcMar>
          </w:tcPr>
          <w:p>
            <w:pPr>
              <w:jc w:val="left"/>
            </w:pPr>
            <w:r>
              <w:rPr>
                <w:rFonts w:ascii="Arial" w:hAnsi="Arial"/>
                <w:sz w:val="16"/>
              </w:rPr>
              <w:t>{{ bsc_sett_etx_before }}</w:t>
            </w:r>
          </w:p>
        </w:tc>
        <w:tc>
          <w:tcPr>
            <w:tcW w:type="dxa" w:w="1200"/>
            <w:tcMar>
              <w:top w:w="40" w:type="dxa"/>
              <w:bottom w:w="40" w:type="dxa"/>
              <w:left w:w="50" w:type="dxa"/>
              <w:right w:w="50" w:type="dxa"/>
            </w:tcMar>
          </w:tcPr>
          <w:p>
            <w:pPr>
              <w:jc w:val="left"/>
            </w:pPr>
            <w:r>
              <w:rPr>
                <w:rFonts w:ascii="Arial" w:hAnsi="Arial"/>
                <w:sz w:val="16"/>
              </w:rPr>
              <w:t>{{ bsc_sett_id_before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test_date }}</w:t>
            </w:r>
          </w:p>
        </w:tc>
        <w:tc>
          <w:tcPr>
            <w:tcW w:type="dxa" w:w="1200"/>
            <w:tcMar>
              <w:top w:w="40" w:type="dxa"/>
              <w:bottom w:w="40" w:type="dxa"/>
              <w:left w:w="50" w:type="dxa"/>
              <w:right w:w="50" w:type="dxa"/>
            </w:tcMar>
          </w:tcPr>
          <w:p>
            <w:pPr>
              <w:jc w:val="center"/>
            </w:pPr>
            <w:r>
              <w:rPr>
                <w:rFonts w:ascii="Arial" w:hAnsi="Arial"/>
                <w:sz w:val="16"/>
              </w:rPr>
              <w:t>{{ bsc_sett_analyst_during }}</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bsc_sett_obs_during }}</w:t>
            </w:r>
          </w:p>
        </w:tc>
        <w:tc>
          <w:tcPr>
            <w:tcW w:type="dxa" w:w="1200"/>
            <w:tcMar>
              <w:top w:w="40" w:type="dxa"/>
              <w:bottom w:w="40" w:type="dxa"/>
              <w:left w:w="50" w:type="dxa"/>
              <w:right w:w="50" w:type="dxa"/>
            </w:tcMar>
          </w:tcPr>
          <w:p>
            <w:pPr>
              <w:jc w:val="left"/>
            </w:pPr>
            <w:r>
              <w:rPr>
                <w:rFonts w:ascii="Arial" w:hAnsi="Arial"/>
                <w:sz w:val="16"/>
              </w:rPr>
              <w:t>{{ bsc_sett_etx_during }}</w:t>
            </w:r>
          </w:p>
        </w:tc>
        <w:tc>
          <w:tcPr>
            <w:tcW w:type="dxa" w:w="1200"/>
            <w:tcMar>
              <w:top w:w="40" w:type="dxa"/>
              <w:bottom w:w="40" w:type="dxa"/>
              <w:left w:w="50" w:type="dxa"/>
              <w:right w:w="50" w:type="dxa"/>
            </w:tcMar>
          </w:tcPr>
          <w:p>
            <w:pPr>
              <w:jc w:val="left"/>
            </w:pPr>
            <w:r>
              <w:rPr>
                <w:rFonts w:ascii="Arial" w:hAnsi="Arial"/>
                <w:sz w:val="16"/>
              </w:rPr>
              <w:t>{{ bsc_sett_id_during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after_date }}</w:t>
            </w:r>
          </w:p>
        </w:tc>
        <w:tc>
          <w:tcPr>
            <w:tcW w:type="dxa" w:w="1200"/>
            <w:tcMar>
              <w:top w:w="40" w:type="dxa"/>
              <w:bottom w:w="40" w:type="dxa"/>
              <w:left w:w="50" w:type="dxa"/>
              <w:right w:w="50" w:type="dxa"/>
            </w:tcMar>
          </w:tcPr>
          <w:p>
            <w:pPr>
              <w:jc w:val="center"/>
            </w:pPr>
            <w:r>
              <w:rPr>
                <w:rFonts w:ascii="Arial" w:hAnsi="Arial"/>
                <w:sz w:val="16"/>
              </w:rPr>
              <w:t>{{ bsc_sett_analyst_after }}</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bsc_sett_obs_after }}</w:t>
            </w:r>
          </w:p>
        </w:tc>
        <w:tc>
          <w:tcPr>
            <w:tcW w:type="dxa" w:w="1200"/>
            <w:tcMar>
              <w:top w:w="40" w:type="dxa"/>
              <w:bottom w:w="40" w:type="dxa"/>
              <w:left w:w="50" w:type="dxa"/>
              <w:right w:w="50" w:type="dxa"/>
            </w:tcMar>
          </w:tcPr>
          <w:p>
            <w:pPr>
              <w:jc w:val="left"/>
            </w:pPr>
            <w:r>
              <w:rPr>
                <w:rFonts w:ascii="Arial" w:hAnsi="Arial"/>
                <w:sz w:val="16"/>
              </w:rPr>
              <w:t>{{ bsc_sett_etx_after }}</w:t>
            </w:r>
          </w:p>
        </w:tc>
        <w:tc>
          <w:tcPr>
            <w:tcW w:type="dxa" w:w="1200"/>
            <w:tcMar>
              <w:top w:w="40" w:type="dxa"/>
              <w:bottom w:w="40" w:type="dxa"/>
              <w:left w:w="50" w:type="dxa"/>
              <w:right w:w="50" w:type="dxa"/>
            </w:tcMar>
          </w:tcPr>
          <w:p>
            <w:pPr>
              <w:jc w:val="left"/>
            </w:pPr>
            <w:r>
              <w:rPr>
                <w:rFonts w:ascii="Arial" w:hAnsi="Arial"/>
                <w:sz w:val="16"/>
              </w:rPr>
              <w:t>{{ bsc_sett_id_after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Weekly Active Air Sampling Bracketing</w:t>
            </w:r>
          </w:p>
        </w:tc>
      </w:tr>
      <w:tr>
        <w:tc>
          <w:tcPr>
            <w:tcW w:type="dxa" w:w="1200"/>
            <w:tcMar>
              <w:top w:w="40" w:type="dxa"/>
              <w:bottom w:w="40" w:type="dxa"/>
              <w:left w:w="50" w:type="dxa"/>
              <w:right w:w="50" w:type="dxa"/>
            </w:tcMar>
          </w:tcPr>
          <w:p>
            <w:pPr>
              <w:jc w:val="left"/>
            </w:pPr>
            <w:r>
              <w:rPr>
                <w:rFonts w:ascii="Arial" w:hAnsi="Arial"/>
                <w:sz w:val="16"/>
              </w:rPr>
              <w:t>Active Air Sampling of Cleanrooms</w:t>
            </w:r>
          </w:p>
        </w:tc>
        <w:tc>
          <w:tcPr>
            <w:tcW w:type="dxa" w:w="1200"/>
            <w:tcMar>
              <w:top w:w="40" w:type="dxa"/>
              <w:bottom w:w="40" w:type="dxa"/>
              <w:left w:w="50" w:type="dxa"/>
              <w:right w:w="50" w:type="dxa"/>
            </w:tcMar>
          </w:tcPr>
          <w:p>
            <w:pPr>
              <w:jc w:val="center"/>
            </w:pPr>
            <w:r>
              <w:rPr>
                <w:rFonts w:ascii="Arial" w:hAnsi="Arial"/>
                <w:sz w:val="16"/>
              </w:rPr>
              <w:t>Weekly</w:t>
            </w:r>
          </w:p>
        </w:tc>
        <w:tc>
          <w:tcPr>
            <w:tcW w:type="dxa" w:w="1200"/>
            <w:tcMar>
              <w:top w:w="40" w:type="dxa"/>
              <w:bottom w:w="40" w:type="dxa"/>
              <w:left w:w="50" w:type="dxa"/>
              <w:right w:w="50" w:type="dxa"/>
            </w:tcMar>
          </w:tcPr>
          <w:p>
            <w:pPr>
              <w:jc w:val="center"/>
            </w:pPr>
            <w:r>
              <w:rPr>
                <w:rFonts w:ascii="Arial" w:hAnsi="Arial"/>
                <w:sz w:val="16"/>
              </w:rPr>
              <w:t>{{ date_of_weekly_air }}</w:t>
            </w:r>
          </w:p>
        </w:tc>
        <w:tc>
          <w:tcPr>
            <w:tcW w:type="dxa" w:w="1200"/>
            <w:tcMar>
              <w:top w:w="40" w:type="dxa"/>
              <w:bottom w:w="40" w:type="dxa"/>
              <w:left w:w="50" w:type="dxa"/>
              <w:right w:w="50" w:type="dxa"/>
            </w:tcMar>
          </w:tcPr>
          <w:p>
            <w:pPr>
              <w:jc w:val="center"/>
            </w:pPr>
            <w:r>
              <w:rPr>
                <w:rFonts w:ascii="Arial" w:hAnsi="Arial"/>
                <w:sz w:val="16"/>
              </w:rPr>
              <w:t>{{ weekly_air_analyst }}</w:t>
            </w:r>
          </w:p>
        </w:tc>
        <w:tc>
          <w:tcPr>
            <w:tcW w:type="dxa" w:w="1200"/>
            <w:tcMar>
              <w:top w:w="40" w:type="dxa"/>
              <w:bottom w:w="40" w:type="dxa"/>
              <w:left w:w="50" w:type="dxa"/>
              <w:right w:w="50" w:type="dxa"/>
            </w:tcMar>
          </w:tcPr>
          <w:p>
            <w:pPr>
              <w:jc w:val="center"/>
            </w:pPr>
            <w:r>
              <w:rPr>
                <w:rFonts w:ascii="Arial" w:hAnsi="Arial"/>
                <w:sz w:val="16"/>
              </w:rPr>
              <w:t>Week (On or After Testing Date)</w:t>
            </w:r>
          </w:p>
        </w:tc>
        <w:tc>
          <w:tcPr>
            <w:tcW w:type="dxa" w:w="1200"/>
            <w:tcMar>
              <w:top w:w="40" w:type="dxa"/>
              <w:bottom w:w="40" w:type="dxa"/>
              <w:left w:w="50" w:type="dxa"/>
              <w:right w:w="50" w:type="dxa"/>
            </w:tcMar>
          </w:tcPr>
          <w:p>
            <w:pPr>
              <w:jc w:val="left"/>
            </w:pPr>
            <w:r>
              <w:rPr>
                <w:rFonts w:ascii="Arial" w:hAnsi="Arial"/>
                <w:sz w:val="16"/>
              </w:rPr>
              <w:t>{{ air_obs }}</w:t>
            </w:r>
          </w:p>
        </w:tc>
        <w:tc>
          <w:tcPr>
            <w:tcW w:type="dxa" w:w="1200"/>
            <w:tcMar>
              <w:top w:w="40" w:type="dxa"/>
              <w:bottom w:w="40" w:type="dxa"/>
              <w:left w:w="50" w:type="dxa"/>
              <w:right w:w="50" w:type="dxa"/>
            </w:tcMar>
          </w:tcPr>
          <w:p>
            <w:pPr>
              <w:jc w:val="left"/>
            </w:pPr>
            <w:r>
              <w:rPr>
                <w:rFonts w:ascii="Arial" w:hAnsi="Arial"/>
                <w:sz w:val="16"/>
              </w:rPr>
              <w:t>{{ air_etx }}</w:t>
            </w:r>
          </w:p>
        </w:tc>
        <w:tc>
          <w:tcPr>
            <w:tcW w:type="dxa" w:w="1200"/>
            <w:tcMar>
              <w:top w:w="40" w:type="dxa"/>
              <w:bottom w:w="40" w:type="dxa"/>
              <w:left w:w="50" w:type="dxa"/>
              <w:right w:w="50" w:type="dxa"/>
            </w:tcMar>
          </w:tcPr>
          <w:p>
            <w:pPr>
              <w:jc w:val="left"/>
            </w:pPr>
            <w:r>
              <w:rPr>
                <w:rFonts w:ascii="Arial" w:hAnsi="Arial"/>
                <w:sz w:val="16"/>
              </w:rPr>
              <w:t>{{ air_id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Surface Sampling of Anteroom and Cleanroom Bracketing</w:t>
            </w:r>
          </w:p>
        </w:tc>
      </w:tr>
      <w:tr>
        <w:tc>
          <w:tcPr>
            <w:tcW w:type="dxa" w:w="1200"/>
            <w:tcMar>
              <w:top w:w="40" w:type="dxa"/>
              <w:bottom w:w="40" w:type="dxa"/>
              <w:left w:w="50" w:type="dxa"/>
              <w:right w:w="50" w:type="dxa"/>
            </w:tcMar>
          </w:tcPr>
          <w:p>
            <w:pPr>
              <w:jc w:val="left"/>
            </w:pPr>
            <w:r>
              <w:rPr>
                <w:rFonts w:ascii="Arial" w:hAnsi="Arial"/>
                <w:sz w:val="16"/>
              </w:rPr>
              <w:t>Surface Sampling of Cleanrooms</w:t>
            </w:r>
          </w:p>
        </w:tc>
        <w:tc>
          <w:tcPr>
            <w:tcW w:type="dxa" w:w="1200"/>
            <w:tcMar>
              <w:top w:w="40" w:type="dxa"/>
              <w:bottom w:w="40" w:type="dxa"/>
              <w:left w:w="50" w:type="dxa"/>
              <w:right w:w="50" w:type="dxa"/>
            </w:tcMar>
          </w:tcPr>
          <w:p>
            <w:pPr>
              <w:jc w:val="center"/>
            </w:pPr>
            <w:r>
              <w:rPr>
                <w:rFonts w:ascii="Arial" w:hAnsi="Arial"/>
                <w:sz w:val="16"/>
              </w:rPr>
              <w:t>Weekly</w:t>
            </w:r>
          </w:p>
        </w:tc>
        <w:tc>
          <w:tcPr>
            <w:tcW w:type="dxa" w:w="1200"/>
            <w:tcMar>
              <w:top w:w="40" w:type="dxa"/>
              <w:bottom w:w="40" w:type="dxa"/>
              <w:left w:w="50" w:type="dxa"/>
              <w:right w:w="50" w:type="dxa"/>
            </w:tcMar>
          </w:tcPr>
          <w:p>
            <w:pPr>
              <w:jc w:val="center"/>
            </w:pPr>
            <w:r>
              <w:rPr>
                <w:rFonts w:ascii="Arial" w:hAnsi="Arial"/>
                <w:sz w:val="16"/>
              </w:rPr>
              <w:t>{{ date_of_weekly_surf }}</w:t>
            </w:r>
          </w:p>
        </w:tc>
        <w:tc>
          <w:tcPr>
            <w:tcW w:type="dxa" w:w="1200"/>
            <w:tcMar>
              <w:top w:w="40" w:type="dxa"/>
              <w:bottom w:w="40" w:type="dxa"/>
              <w:left w:w="50" w:type="dxa"/>
              <w:right w:w="50" w:type="dxa"/>
            </w:tcMar>
          </w:tcPr>
          <w:p>
            <w:pPr>
              <w:jc w:val="center"/>
            </w:pPr>
            <w:r>
              <w:rPr>
                <w:rFonts w:ascii="Arial" w:hAnsi="Arial"/>
                <w:sz w:val="16"/>
              </w:rPr>
              <w:t>{{ weekly_surf_analyst }}</w:t>
            </w:r>
          </w:p>
        </w:tc>
        <w:tc>
          <w:tcPr>
            <w:tcW w:type="dxa" w:w="1200"/>
            <w:tcMar>
              <w:top w:w="40" w:type="dxa"/>
              <w:bottom w:w="40" w:type="dxa"/>
              <w:left w:w="50" w:type="dxa"/>
              <w:right w:w="50" w:type="dxa"/>
            </w:tcMar>
          </w:tcPr>
          <w:p>
            <w:pPr>
              <w:jc w:val="center"/>
            </w:pPr>
            <w:r>
              <w:rPr>
                <w:rFonts w:ascii="Arial" w:hAnsi="Arial"/>
                <w:sz w:val="16"/>
              </w:rPr>
              <w:t>Week (On or After Testing Date)</w:t>
            </w:r>
          </w:p>
        </w:tc>
        <w:tc>
          <w:tcPr>
            <w:tcW w:type="dxa" w:w="1200"/>
            <w:tcMar>
              <w:top w:w="40" w:type="dxa"/>
              <w:bottom w:w="40" w:type="dxa"/>
              <w:left w:w="50" w:type="dxa"/>
              <w:right w:w="50" w:type="dxa"/>
            </w:tcMar>
          </w:tcPr>
          <w:p>
            <w:pPr>
              <w:jc w:val="left"/>
            </w:pPr>
            <w:r>
              <w:rPr>
                <w:rFonts w:ascii="Arial" w:hAnsi="Arial"/>
                <w:sz w:val="16"/>
              </w:rPr>
              <w:t>{{ room_surf_obs }}</w:t>
            </w:r>
          </w:p>
        </w:tc>
        <w:tc>
          <w:tcPr>
            <w:tcW w:type="dxa" w:w="1200"/>
            <w:tcMar>
              <w:top w:w="40" w:type="dxa"/>
              <w:bottom w:w="40" w:type="dxa"/>
              <w:left w:w="50" w:type="dxa"/>
              <w:right w:w="50" w:type="dxa"/>
            </w:tcMar>
          </w:tcPr>
          <w:p>
            <w:pPr>
              <w:jc w:val="left"/>
            </w:pPr>
            <w:r>
              <w:rPr>
                <w:rFonts w:ascii="Arial" w:hAnsi="Arial"/>
                <w:sz w:val="16"/>
              </w:rPr>
              <w:t>{{ room_surf_etx }}</w:t>
            </w:r>
          </w:p>
        </w:tc>
        <w:tc>
          <w:tcPr>
            <w:tcW w:type="dxa" w:w="1200"/>
            <w:tcMar>
              <w:top w:w="40" w:type="dxa"/>
              <w:bottom w:w="40" w:type="dxa"/>
              <w:left w:w="50" w:type="dxa"/>
              <w:right w:w="50" w:type="dxa"/>
            </w:tcMar>
          </w:tcPr>
          <w:p>
            <w:pPr>
              <w:jc w:val="left"/>
            </w:pPr>
            <w:r>
              <w:rPr>
                <w:rFonts w:ascii="Arial" w:hAnsi="Arial"/>
                <w:sz w:val="16"/>
              </w:rPr>
              <w:t>{{ room_surf_id }}</w:t>
            </w:r>
          </w:p>
        </w:tc>
        <w:tc>
          <w:tcPr>
            <w:tcW w:type="dxa" w:w="1200"/>
            <w:tcMar>
              <w:top w:w="40" w:type="dxa"/>
              <w:bottom w:w="40" w:type="dxa"/>
              <w:left w:w="50" w:type="dxa"/>
              <w:right w:w="50" w:type="dxa"/>
            </w:tcMar>
          </w:tcPr>
          <w:p>
            <w:pPr>
              <w:jc w:val="center"/>
            </w:pPr>
            <w:r>
              <w:rPr>
                <w:rFonts w:ascii="Arial" w:hAnsi="Arial"/>
                <w:sz w:val="16"/>
              </w:rPr>
              <w:t>None</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811BF" w14:textId="77777777" w:rsidR="00FE7177" w:rsidRDefault="00FE7177" w:rsidP="00312331">
      <w:r>
        <w:separator/>
      </w:r>
    </w:p>
  </w:endnote>
  <w:endnote w:type="continuationSeparator" w:id="0">
    <w:p w14:paraId="685361D0" w14:textId="77777777" w:rsidR="00FE7177" w:rsidRDefault="00FE7177"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DF934" w14:textId="77777777" w:rsidR="00FE7177" w:rsidRDefault="00FE7177" w:rsidP="00312331">
      <w:r>
        <w:separator/>
      </w:r>
    </w:p>
  </w:footnote>
  <w:footnote w:type="continuationSeparator" w:id="0">
    <w:p w14:paraId="2F3F1707" w14:textId="77777777" w:rsidR="00FE7177" w:rsidRDefault="00FE7177"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oos_id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3C9"/>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920"/>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61EA"/>
    <w:rsid w:val="00696832"/>
    <w:rsid w:val="00696F26"/>
    <w:rsid w:val="006A0F62"/>
    <w:rsid w:val="006A363B"/>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46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1A48"/>
    <w:rsid w:val="00943B24"/>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1FE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200"/>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259"/>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4A6"/>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284"/>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177"/>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2.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472</TotalTime>
  <Pages>6</Pages>
  <Words>1821</Words>
  <Characters>10380</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12177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129</cp:revision>
  <cp:lastPrinted>2026-01-06T15:59:00Z</cp:lastPrinted>
  <dcterms:created xsi:type="dcterms:W3CDTF">2026-01-06T16:06:00Z</dcterms:created>
  <dcterms:modified xsi:type="dcterms:W3CDTF">2026-02-19T21:38:00Z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