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Sonal Uprety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07Aug26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ETX-260805-0189</w:t>
              <w:br/>
              <w:t xml:space="preserve"/>
              <w:br/>
              <w:t xml:space="preserve">GoGoMeds Select (E10747)</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Prepper: </w:t>
              <w:br/>
              <w:t xml:space="preserve">Elysse Nioupin (EN)</w:t>
              <w:br/>
              <w:t xml:space="preserve"/>
              <w:br/>
              <w:t xml:space="preserve">Processor:</w:t>
              <w:br/>
              <w:t xml:space="preserve">Sonal Uprety (SU)</w:t>
              <w:br/>
              <w:t xml:space="preserve"/>
              <w:br/>
              <w:t xml:space="preserve">Changeover</w:t>
              <w:br/>
              <w:t xml:space="preserve">Processor:</w:t>
              <w:br/>
              <w:t xml:space="preserve">Sonal Uprety (SU)</w:t>
              <w:br/>
              <w:t xml:space="preserve"/>
              <w:br/>
              <w:t xml:space="preserve">Reader:</w:t>
              <w:br/>
              <w:t xml:space="preserve">Varsha Subramanian (VV)</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Tirzepatide/B12 25/1mg/mL Injectable</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18468</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Injectable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On 07Aug26, sample ETX-260805-0189 was found positive for viable microorganisms after ScanRDI testing.</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07Aug26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Elysse Nioupin, Sonal Uprety, and Varsha Subramanian were interviewed comprehensively.</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ETX-260805-0189</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See 080726-1040-2 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562F0999" w:rsidR="006551B6" w:rsidRPr="00BA7279" w:rsidRDefault="00132EF5" w:rsidP="00183CD4">
            <w:pPr>
              <w:jc w:val="center"/>
              <w:outlineLvl w:val="0"/>
              <w:rPr>
                <w:rFonts w:ascii="Times New Roman" w:hAnsi="Times New Roman"/>
                <w:sz w:val="22"/>
                <w:szCs w:val="22"/>
              </w:rPr>
            </w:pPr>
            <w:r w:rsidRPr="00132EF5">
              <w:rPr>
                <w:rFonts w:ascii="Times New Roman" w:hAnsi="Times New Roman"/>
                <w:sz w:val="22"/>
                <w:szCs w:val="22"/>
              </w:rPr>
              <w:t xml:space="preserve">Yes, Information is available in Eagle Trax Sample Location History under ETX-260805-0189</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A. brasiliensis</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05222026-16404-AB</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22May28</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0E8382BF" w:rsidR="00183CD4" w:rsidRPr="00953B77" w:rsidRDefault="00A37772" w:rsidP="00183CD4">
            <w:pPr>
              <w:jc w:val="center"/>
              <w:outlineLvl w:val="0"/>
              <w:rPr>
                <w:rFonts w:ascii="Times New Roman" w:hAnsi="Times New Roman"/>
                <w:b/>
                <w:sz w:val="22"/>
                <w:szCs w:val="22"/>
                <w:highlight w:val="yellow"/>
              </w:rPr>
            </w:pPr>
            <w:r w:rsidRPr="00A37772">
              <w:rPr>
                <w:rFonts w:ascii="Times New Roman" w:hAnsi="Times New Roman"/>
                <w:sz w:val="22"/>
                <w:szCs w:val="22"/>
              </w:rPr>
              <w:t xml:space="preserve">E001040</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5B03A6C0" w:rsidR="005F2327" w:rsidRPr="00953B77" w:rsidRDefault="00450BC6" w:rsidP="0034318C">
            <w:pPr>
              <w:jc w:val="center"/>
              <w:outlineLvl w:val="0"/>
              <w:rPr>
                <w:rFonts w:ascii="Times New Roman" w:eastAsiaTheme="minorEastAsia" w:hAnsi="Times New Roman"/>
                <w:sz w:val="22"/>
                <w:szCs w:val="22"/>
                <w:highlight w:val="yellow"/>
                <w:lang w:eastAsia="zh-CN"/>
              </w:rPr>
            </w:pPr>
            <w:r w:rsidRPr="00A37772">
              <w:rPr>
                <w:rFonts w:ascii="Times New Roman" w:hAnsi="Times New Roman"/>
                <w:sz w:val="22"/>
                <w:szCs w:val="22"/>
              </w:rPr>
              <w:t xml:space="preserve">CR115 (E001737)</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C061786" w:rsidR="00C63E4C" w:rsidRPr="00953B77" w:rsidRDefault="00820019" w:rsidP="00C63E4C">
            <w:pPr>
              <w:jc w:val="center"/>
              <w:outlineLvl w:val="0"/>
              <w:rPr>
                <w:rFonts w:ascii="Times New Roman" w:hAnsi="Times New Roman"/>
                <w:sz w:val="22"/>
                <w:szCs w:val="22"/>
                <w:highlight w:val="yellow"/>
              </w:rPr>
            </w:pPr>
            <w:r w:rsidRPr="00A37772">
              <w:rPr>
                <w:rFonts w:ascii="Times New Roman" w:hAnsi="Times New Roman"/>
                <w:sz w:val="22"/>
                <w:szCs w:val="22"/>
              </w:rPr>
              <w:t xml:space="preserve">E001040</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All analysts involved in the prepping, processing, and reading of the samples – Elysse Nioupin, Sonal Uprety, and Varsha Subramanian – were interviewed and their answers are recorded throughout this document.</w:t>
              <w:br/>
              <w:t xml:space="preserve"/>
              <w:br/>
              <w:t xml:space="preserve">The sample was stored upon arrival according to the Client’s instructions. Analysts Elysse Nioupin and Sonal Uprety confirmed the integrity of the samples throughout both the preparation and processing stages. No leaks or turbidity were observed at any point, verifying the integrity of the sample.</w:t>
              <w:br/>
              <w:t xml:space="preserve"/>
              <w:br/>
              <w:t xml:space="preserve">All reagents and supplies mentioned in the material section above were stored according to the suppliers’ recommendations, and their integrity was visually verified before utilization. Moreover, each reagent and supply had valid expiration dates.</w:t>
              <w:br/>
              <w:t xml:space="preserve"/>
              <w:br/>
              <w:t xml:space="preserve">During the preparation phase, Elysse Nioupin disinfected the samples using acidified bleach and placed them into a pre-disinfected storage bin. On 07Aug26, prior to sample processing, Sonal Uprety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E001313, located within the middle ISO 7 buffer room, (Suite 115A), All activities were performed in accordance with MICRO-SOP-12, Rapid Scan RDI® Test using FIFU Method.</w:t>
              <w:br/>
              <w:t xml:space="preserve"/>
              <w:br/>
              <w:t xml:space="preserve">The cleanroom used for testing and changeover procedures (Suite 115) comprises three interconnected sections: the innermost ISO 7 cleanroom (115B), which connects to the middle ISO 7 buffer room (115A), and then to the outermost ISO 8 anteroom (115). A positive air pressure system is maintained throughout the suite to ensure controlled, unidirectional airflow from 115B through 115A and into 115.</w:t>
              <w:br/>
              <w:t xml:space="preserve"/>
              <w:br/>
              <w:t xml:space="preserve">The ISO 5 BSC E001313, located in the middle ISO 7 buffer room, (Suite 115A), was used for both testing and changeover steps. It was thoroughly cleaned and disinfected prior to each procedure in accordance with SOP 2.600.018 (Cleaning and Disinfecting Procedure for Microbiology). Additionally, BSC E001313 was certified and approved by both the Engineering and Quality Assurance teams. Sample processing and changeover were conducted in the ISO 5 BSC E001313 in the middle ISO 7 buffer room, (Suite 115A) by Sonal Uprety on 07Aug26.</w:t>
              <w:br/>
              <w:t xml:space="preserve"/>
              <w:br/>
              <w:t xml:space="preserve">The analyst, Varsha Subramanian, confirmed that the equipment was set up as per ENG-SOP-4 (Scan RDI® System – Operations (Standard C3 Quality Check and Microscope Setup) and Maintenance), and the negative control and the positive control for the analyst, Varsha Subramanian, yielded expected results.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On 07Aug26, a rapid sterility test was conducted on the sample using the ScanRDI method. The sample was initially prepared by Analyst Elysse Nioupin, processed by Sonal Uprety, and subsequently read by Varsha Subramanian. The test revealed 4 rod-shaped viable microorganisms, see table 1.</w:t>
              <w:br/>
              <w:t xml:space="preserve"/>
              <w:br/>
              <w:t xml:space="preserve">On 07Aug26, Processing Analyst SU completed ScanRDI sterility testing for sample ETX-260804-0101, associated with DCA Pharmacy (E12860), and sample ETX-260805-0189, associated with GoGoMeds Select (E10747), in accordance with MICRO-SOP-12, ScanRDI Sterility Testing Process.</w:t>
              <w:br/>
              <w:t xml:space="preserve"/>
              <w:br/>
              <w:t xml:space="preserve">During sample reading and result verification using the ScanRDI instrument, Second Shift Reading Analyst VV determined that ETX-260804-0101 met the established acceptance criteria and generated a passing result, whereas ETX-260805-0189 generated a failing result.</w:t>
              <w:br/>
              <w:t xml:space="preserve"/>
              <w:br/>
              <w:t xml:space="preserve">During subsequent result entry, Analyst VV inadvertently transposed the results between the two samples. As a result, the passing result generated for ETX-260804-0101 was incorrectly assigned to ETX-260805-0189, while the failing result generated for ETX-260805-0189 was incorrectly assigned to ETX-260804-0101.</w:t>
              <w:br/>
              <w:t xml:space="preserve"/>
              <w:br/>
              <w:t xml:space="preserve">During the subsequent data review, Reviewer OA did not identify the result transposition and approved the incorrectly assigned failing result for ETX-260804-0101. Consequently, ETX-260804-0101, which had actually met the acceptance criteria, was placed on hold pending an Out-of-Specification (OOS) investigation.</w:t>
              <w:br/>
              <w:t xml:space="preserve"/>
              <w:br/>
              <w:t xml:space="preserve">Review of the original ScanRDI testing and instrument-generated data confirmed that the testing process itself was performed as intended and that the instrument results were correctly generated for each sample. The discrepancy occurred after testing, during manual result transcription and subsequent review, and did not reflect an analytical failure or an actual failing result for ETX-260804-0101.</w:t>
              <w:br/>
              <w:t xml:space="preserve"/>
              <w:br/>
              <w:t xml:space="preserve">The investigation therefore identified the event as an unintentional result-transposition error during data entry that was not detected during the initial data review. The original instrument-generated result for ETX-260804-0101 remained passing, while ETX-260805-0189 was confirmed as the sample associated with the failing ScanRDI result. Following confirmation of the correct result attribution, the investigation proceeded to evaluate potential laboratory sources of the microbial recovery for ETX-260805-0189.</w:t>
              <w:br/>
              <w:t xml:space="preserve"/>
              <w:br/>
              <w:t xml:space="preserve">Table 2 (see attached tables) presents the environmental monitoring results for ETX-260805-0189. The environmental monitoring (EM) plates were incubated for no less than 48 hours at 30-35°C and no less than an additional five days at 20-25°C as per SOP 2.600.002 (Environmental Monitoring of the Clean-room Facility).</w:t>
              <w:br/>
              <w:t xml:space="preserve"/>
              <w:br/>
              <w:t xml:space="preserve">Upon review of the environmental monitoring data associated with the sterility test, no microbial growth was recovered from any of the four ISO 5 work-surface monitoring locations within BSC E001313 on the date of testing. Low-level microbial recoveries were identified from personnel and settling-plate monitoring performed in association with testing, as well as from routine weekly monitoring of the surrounding cleanroom areas.</w:t>
              <w:br/>
              <w:t xml:space="preserve"/>
              <w:br/>
              <w:t xml:space="preserve">One CFU was recovered from the analyst’s right-hand touch plate and submitted for microbial identification under sample ID ETX-260817-0447. The isolate was identified as Micrococcus luteus. This recovery was not microbiologically consistent with the organism observed in the test sample: M. luteus is coccal in morphology, whereas the microorganism recovered from the test sample exhibited rod-shaped morphology. Accordingly, the personnel monitoring result does not support direct transfer of the recovered right-glove organism to the test sample.</w:t>
              <w:br/>
              <w:t xml:space="preserve"/>
              <w:br/>
              <w:t xml:space="preserve">Two CFUs were also recovered from settling plate Sett 2 and submitted for differential staining under sample ID ETX-260817-0507. The organisms were characterized as Gram-positive rods; however, definitive identification could not be obtained because the plate was documented as desiccated at the 5-day read. Therefore, an organism-level microbiological match between the settling-plate recovery and the test-sample isolate could not be established. This finding was evaluated in conjunction with the remaining contemporaneous environmental monitoring data, including the absence of microbial recovery from all four ISO 5 work surfaces within BSC E001313.</w:t>
              <w:br/>
              <w:t xml:space="preserve"/>
              <w:br/>
              <w:t xml:space="preserve">Routine weekly facility monitoring during the week of testing additionally recovered 1 CFU of Gram-positive short rods from active air monitoring in ISO 8 Cleanroom 115 (ETX-260817-0370) and 2 CFUs identified as Bacillus megaterium from the floor of ISO 7 Suite 115A (ETX-260817-0366). These recoveries occurred in lower-classified background areas physically separated from the critical ISO 5 testing zone. Sample manipulation was performed within BSC E001313, and samples were transported into the testing area in disinfected, lidded containers. No corresponding microbial recovery was observed from the ISO 5 work surfaces within the BSC that would support transfer of contamination from these surrounding areas into the critical testing environment.</w:t>
              <w:br/>
              <w:t xml:space="preserve"/>
              <w:br/>
              <w:t xml:space="preserve">Monthly cleaning and disinfection, using H2O2, of the cleanroom (ISO 7) and its containing Biosafety Cabinets (BSCs, ISO 5) were performed on 26Jul26, as per SOP 2.600.018 Cleaning and Disinfection Procedure. It was documented that all H2O2 indicators passed.</w:t>
              <w:br/>
              <w:t xml:space="preserve"/>
              <w:br/>
              <w:t xml:space="preserve">Analyzing a 6-month sample history for GoGoMeds Select (E10747), this specific analyte "Tirzepatide/B12 25/1mg/mL Injectable" has had no prior failures using the Scan RDI method during this period.</w:t>
              <w:br/>
              <w:t xml:space="preserve"/>
              <w:br/>
              <w:t xml:space="preserve">The microbiological findings were also assessed for evidence of a broader contamination pattern. All other samples processed by the same analyst, as well as samples processed by other laboratory personnel on the date of testing, were negative for microbial growth. The absence of additional positive samples or a clustering pattern provides further evidence against a systemic environmental, procedural, or sample-to-sample cross-contamination event.</w:t>
              <w:br/>
              <w:t xml:space="preserve"/>
              <w:br/>
              <w:t xml:space="preserve">Taken together, the environmental monitoring results demonstrate isolated, low-level recoveries at discrete monitoring locations, with no microbiological match established between the recovered monitoring organisms and the test-sample isolate, no microbial recovery from the ISO 5 work surfaces used for testing, and no broader pattern of contamination among concurrently processed samples. Therefore, the available environmental and personnel monitoring data do not identify an assignable laboratory source for the microbial growth observed in the test sample and do not support laboratory-introduced contamination as the cause of the positive sterility result. In summary, while a post-analytical documentation error occurred during manual data transcription and review (resulting in the initial transposition of sample results), no assignable laboratory analytical or microbiological cause was identified for the microbial contamination in ETX-260805-0189; accordingly, the positive sterility result for ETX-260805-0189 remains valid.</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ETX-260805-0189</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847E4E" w:rsidRPr="00A54DCC" w14:paraId="04C64376" w14:textId="77777777" w:rsidTr="00601FC1">
        <w:trPr>
          <w:trHeight w:val="191"/>
          <w:jc w:val="center"/>
        </w:trPr>
        <w:tc>
          <w:tcPr>
            <w:tcW w:w="1620" w:type="dxa"/>
            <w:shd w:val="clear" w:color="auto" w:fill="EEECE1" w:themeFill="background2"/>
            <w:vAlign w:val="center"/>
          </w:tcPr>
          <w:p w14:paraId="7F03D043" w14:textId="77777777" w:rsidR="00847E4E" w:rsidRDefault="00847E4E" w:rsidP="00601FC1">
            <w:pPr>
              <w:pStyle w:val="Default"/>
              <w:jc w:val="center"/>
              <w:rPr>
                <w:bCs/>
                <w:sz w:val="14"/>
                <w:szCs w:val="14"/>
              </w:rPr>
            </w:pPr>
          </w:p>
          <w:p w14:paraId="50599B71" w14:textId="77777777" w:rsidR="00847E4E" w:rsidRPr="00352132" w:rsidRDefault="00847E4E" w:rsidP="00601FC1">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18AD16B2" w14:textId="77777777" w:rsidR="00847E4E" w:rsidRDefault="00847E4E" w:rsidP="00601FC1">
            <w:pPr>
              <w:pStyle w:val="Default"/>
              <w:jc w:val="center"/>
              <w:rPr>
                <w:bCs/>
                <w:sz w:val="14"/>
                <w:szCs w:val="14"/>
              </w:rPr>
            </w:pPr>
          </w:p>
          <w:p w14:paraId="434C5992" w14:textId="77777777" w:rsidR="00847E4E" w:rsidRPr="00A54DCC" w:rsidRDefault="00847E4E" w:rsidP="00601FC1">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631504A3" w14:textId="77777777" w:rsidR="00847E4E" w:rsidRDefault="00847E4E" w:rsidP="00601FC1">
            <w:pPr>
              <w:pStyle w:val="Default"/>
              <w:jc w:val="center"/>
              <w:rPr>
                <w:bCs/>
                <w:sz w:val="14"/>
                <w:szCs w:val="14"/>
              </w:rPr>
            </w:pPr>
          </w:p>
          <w:p w14:paraId="385FCFCF"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4EB415EF" w14:textId="77777777" w:rsidR="00847E4E" w:rsidRDefault="00847E4E" w:rsidP="00601FC1">
            <w:pPr>
              <w:pStyle w:val="Default"/>
              <w:jc w:val="center"/>
              <w:rPr>
                <w:bCs/>
                <w:sz w:val="14"/>
                <w:szCs w:val="14"/>
              </w:rPr>
            </w:pPr>
          </w:p>
          <w:p w14:paraId="6DBA5494" w14:textId="77777777" w:rsidR="00847E4E" w:rsidRPr="00A54DCC" w:rsidRDefault="00847E4E" w:rsidP="00601FC1">
            <w:pPr>
              <w:pStyle w:val="Default"/>
              <w:jc w:val="center"/>
              <w:rPr>
                <w:bCs/>
                <w:sz w:val="14"/>
                <w:szCs w:val="14"/>
              </w:rPr>
            </w:pPr>
            <w:r>
              <w:rPr>
                <w:bCs/>
                <w:sz w:val="14"/>
                <w:szCs w:val="14"/>
              </w:rPr>
              <w:t>Events</w:t>
            </w:r>
          </w:p>
        </w:tc>
        <w:tc>
          <w:tcPr>
            <w:tcW w:w="1625" w:type="dxa"/>
            <w:shd w:val="clear" w:color="auto" w:fill="EEECE1" w:themeFill="background2"/>
            <w:vAlign w:val="center"/>
          </w:tcPr>
          <w:p w14:paraId="204B9B0B" w14:textId="77777777" w:rsidR="00847E4E" w:rsidRDefault="00847E4E" w:rsidP="00601FC1">
            <w:pPr>
              <w:pStyle w:val="Default"/>
              <w:jc w:val="center"/>
              <w:rPr>
                <w:bCs/>
                <w:sz w:val="14"/>
                <w:szCs w:val="14"/>
              </w:rPr>
            </w:pPr>
          </w:p>
          <w:p w14:paraId="0F87B06B" w14:textId="77777777" w:rsidR="00847E4E" w:rsidRPr="00A54DCC" w:rsidRDefault="00847E4E" w:rsidP="00601FC1">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387ADEB" w14:textId="77777777" w:rsidR="00847E4E" w:rsidRDefault="00847E4E" w:rsidP="00601FC1">
            <w:pPr>
              <w:pStyle w:val="Default"/>
              <w:jc w:val="center"/>
              <w:rPr>
                <w:bCs/>
                <w:sz w:val="14"/>
                <w:szCs w:val="14"/>
              </w:rPr>
            </w:pPr>
          </w:p>
          <w:p w14:paraId="67280149" w14:textId="77777777" w:rsidR="00847E4E" w:rsidRPr="00A54DCC" w:rsidRDefault="00847E4E" w:rsidP="00601FC1">
            <w:pPr>
              <w:pStyle w:val="Default"/>
              <w:jc w:val="center"/>
              <w:rPr>
                <w:bCs/>
                <w:sz w:val="14"/>
                <w:szCs w:val="14"/>
              </w:rPr>
            </w:pPr>
            <w:r>
              <w:rPr>
                <w:bCs/>
                <w:sz w:val="14"/>
                <w:szCs w:val="14"/>
              </w:rPr>
              <w:t>Morphology Description</w:t>
            </w:r>
          </w:p>
        </w:tc>
      </w:tr>
      <w:tr w:rsidR="00847E4E" w:rsidRPr="00A54DCC" w14:paraId="424D1A1E" w14:textId="77777777" w:rsidTr="00601FC1">
        <w:trPr>
          <w:cantSplit/>
          <w:trHeight w:val="744"/>
          <w:jc w:val="center"/>
        </w:trPr>
        <w:tc>
          <w:tcPr>
            <w:tcW w:w="1620" w:type="dxa"/>
            <w:vAlign w:val="center"/>
          </w:tcPr>
          <w:p w14:paraId="4516B599"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Sonal Uprety</w:t>
            </w:r>
          </w:p>
        </w:tc>
        <w:tc>
          <w:tcPr>
            <w:tcW w:w="1530" w:type="dxa"/>
            <w:vAlign w:val="center"/>
          </w:tcPr>
          <w:p w14:paraId="13417D1C" w14:textId="77777777" w:rsidR="00847E4E" w:rsidRPr="00ED1F8F" w:rsidRDefault="00847E4E" w:rsidP="00601FC1">
            <w:pPr>
              <w:spacing w:line="360" w:lineRule="auto"/>
              <w:jc w:val="center"/>
              <w:rPr>
                <w:rFonts w:ascii="Times New Roman" w:hAnsi="Times New Roman"/>
                <w:sz w:val="14"/>
                <w:szCs w:val="14"/>
              </w:rPr>
            </w:pPr>
            <w:r w:rsidRPr="003E74E3">
              <w:rPr>
                <w:rFonts w:ascii="Times New Roman" w:hAnsi="Times New Roman"/>
                <w:sz w:val="14"/>
                <w:szCs w:val="14"/>
              </w:rPr>
              <w:t xml:space="preserve">Varsha Subramanian</w:t>
            </w:r>
          </w:p>
        </w:tc>
        <w:tc>
          <w:tcPr>
            <w:tcW w:w="1453" w:type="dxa"/>
            <w:vAlign w:val="center"/>
          </w:tcPr>
          <w:p w14:paraId="52695C6F" w14:textId="77777777" w:rsidR="00847E4E" w:rsidRPr="00A44AFC" w:rsidRDefault="00847E4E" w:rsidP="00601FC1">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xml:space="preserve">ETX-260805-0189</w:t>
            </w:r>
          </w:p>
        </w:tc>
        <w:tc>
          <w:tcPr>
            <w:tcW w:w="1427" w:type="dxa"/>
            <w:vAlign w:val="center"/>
          </w:tcPr>
          <w:p w14:paraId="2F0BF02F"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187</w:t>
            </w:r>
          </w:p>
        </w:tc>
        <w:tc>
          <w:tcPr>
            <w:tcW w:w="1625" w:type="dxa"/>
            <w:vAlign w:val="center"/>
          </w:tcPr>
          <w:p w14:paraId="7809F717" w14:textId="77777777" w:rsidR="00847E4E" w:rsidRPr="006765AF" w:rsidRDefault="00847E4E" w:rsidP="00601FC1">
            <w:pPr>
              <w:pStyle w:val="Default"/>
              <w:spacing w:line="360" w:lineRule="auto"/>
              <w:jc w:val="center"/>
              <w:rPr>
                <w:rFonts w:eastAsiaTheme="minorEastAsia"/>
                <w:sz w:val="14"/>
                <w:szCs w:val="14"/>
                <w:lang w:eastAsia="zh-CN"/>
              </w:rPr>
            </w:pPr>
            <w:r w:rsidRPr="006765AF">
              <w:rPr>
                <w:sz w:val="14"/>
                <w:szCs w:val="14"/>
              </w:rPr>
              <w:t xml:space="preserve">4</w:t>
            </w:r>
          </w:p>
        </w:tc>
        <w:tc>
          <w:tcPr>
            <w:tcW w:w="2155" w:type="dxa"/>
            <w:vAlign w:val="center"/>
          </w:tcPr>
          <w:p w14:paraId="31591A27"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Rod-</w:t>
            </w:r>
            <w:r>
              <w:rPr>
                <w:rFonts w:eastAsiaTheme="minorEastAsia" w:hint="eastAsia"/>
                <w:sz w:val="14"/>
                <w:szCs w:val="14"/>
                <w:lang w:eastAsia="zh-CN"/>
              </w:rPr>
              <w:t>s</w:t>
            </w:r>
            <w:r w:rsidRPr="000D7186">
              <w:rPr>
                <w:sz w:val="14"/>
                <w:szCs w:val="14"/>
              </w:rPr>
              <w:t>haped Morphology</w:t>
            </w:r>
          </w:p>
        </w:tc>
      </w:tr>
    </w:tbl>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07Aug26</w:t>
      </w: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847E4E" w14:paraId="2D25CE9B" w14:textId="77777777" w:rsidTr="00601FC1">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11C75A0"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BD94349" w14:textId="77777777" w:rsidR="00847E4E" w:rsidRPr="0061565E" w:rsidRDefault="00847E4E" w:rsidP="00601FC1">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F6F7ED"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591FF9D"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6D07EC92" w14:textId="77777777" w:rsidR="00847E4E" w:rsidRPr="0061565E" w:rsidRDefault="00847E4E" w:rsidP="00601FC1">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40B8244" w14:textId="77777777" w:rsidR="00847E4E" w:rsidRPr="0061565E" w:rsidRDefault="00847E4E" w:rsidP="00601FC1">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9153D4" w14:textId="77777777" w:rsidR="00847E4E" w:rsidRPr="0061565E" w:rsidRDefault="00847E4E" w:rsidP="00601FC1">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A49BFC8" w14:textId="77777777" w:rsidR="00847E4E" w:rsidRPr="0061565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A4F5EB5"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F113AE" w14:textId="77777777" w:rsidR="00847E4E" w:rsidRPr="0061565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88CD074" w14:textId="77777777" w:rsidR="00847E4E" w:rsidRPr="0061565E" w:rsidRDefault="00847E4E" w:rsidP="00601FC1">
            <w:pPr>
              <w:jc w:val="center"/>
            </w:pPr>
            <w:r w:rsidRPr="0061565E">
              <w:rPr>
                <w:rFonts w:ascii="Times New Roman" w:hAnsi="Times New Roman"/>
                <w:color w:val="000000" w:themeColor="text1"/>
                <w:sz w:val="12"/>
                <w:szCs w:val="12"/>
              </w:rPr>
              <w:t>Notes</w:t>
            </w:r>
          </w:p>
        </w:tc>
      </w:tr>
      <w:tr w:rsidR="00847E4E" w14:paraId="5AFF7E1F"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E73C955" w14:textId="77777777" w:rsidR="00847E4E" w:rsidRPr="00A86D79" w:rsidRDefault="00847E4E" w:rsidP="00601FC1">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xml:space="preserve">Sonal Uprety</w:t>
            </w:r>
            <w:r>
              <w:rPr>
                <w:rFonts w:ascii="Times New Roman" w:eastAsiaTheme="minorEastAsia" w:hAnsi="Times New Roman" w:hint="eastAsia"/>
                <w:b/>
                <w:bCs/>
                <w:color w:val="000000" w:themeColor="text1"/>
                <w:sz w:val="14"/>
                <w:szCs w:val="14"/>
                <w:lang w:eastAsia="zh-CN"/>
              </w:rPr>
              <w:t>)</w:t>
            </w:r>
            <w:r>
              <w:rPr>
                <w:rFonts w:ascii="Times New Roman" w:eastAsiaTheme="minorEastAsia" w:hAnsi="Times New Roman"/>
                <w:b/>
                <w:bCs/>
                <w:color w:val="000000" w:themeColor="text1"/>
                <w:sz w:val="14"/>
                <w:szCs w:val="14"/>
                <w:lang w:eastAsia="zh-CN"/>
              </w:rPr>
              <w:t xml:space="preserve"> on </w:t>
            </w:r>
            <w:r w:rsidRPr="00611F74">
              <w:rPr>
                <w:rFonts w:ascii="Times New Roman" w:eastAsiaTheme="minorEastAsia" w:hAnsi="Times New Roman"/>
                <w:b/>
                <w:bCs/>
                <w:color w:val="000000" w:themeColor="text1"/>
                <w:sz w:val="14"/>
                <w:szCs w:val="14"/>
                <w:lang w:eastAsia="zh-CN"/>
              </w:rPr>
              <w:t xml:space="preserve">07Aug26</w:t>
            </w:r>
          </w:p>
        </w:tc>
      </w:tr>
      <w:tr w:rsidR="00847E4E" w14:paraId="514F7BE1"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6469A" w14:textId="77777777" w:rsidR="00847E4E" w:rsidRDefault="00847E4E" w:rsidP="00601FC1">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1F4588"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0BB461A"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B7D292A" w14:textId="77777777" w:rsidR="00847E4E" w:rsidRPr="00B8151E" w:rsidRDefault="00847E4E" w:rsidP="00601FC1">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BA1024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AE24034"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1 CFU on RT</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4C5EAE0"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ETX-260817-0447</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D06101" w14:textId="77777777" w:rsidR="00847E4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Micrococcus luteus</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0261DBD" w14:textId="77777777" w:rsidR="00847E4E" w:rsidRPr="00B8151E" w:rsidRDefault="00847E4E" w:rsidP="00601FC1">
            <w:pPr>
              <w:jc w:val="center"/>
              <w:rPr>
                <w:rFonts w:ascii="Times New Roman" w:hAnsi="Times New Roman"/>
                <w:color w:val="000000" w:themeColor="text1"/>
                <w:sz w:val="14"/>
                <w:szCs w:val="14"/>
              </w:rPr>
            </w:pPr>
            <w:r>
              <w:rPr>
                <w:rFonts w:ascii="Times New Roman" w:hAnsi="Times New Roman"/>
                <w:sz w:val="14"/>
              </w:rPr>
              <w:t xml:space="preserve">plate was desiccated on 5 day read.</w:t>
            </w:r>
          </w:p>
        </w:tc>
      </w:tr>
      <w:tr w:rsidR="00847E4E" w14:paraId="2F6586D7"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7150449F" w14:textId="77777777" w:rsidR="00847E4E" w:rsidRPr="00861208" w:rsidRDefault="00847E4E" w:rsidP="00601FC1">
            <w:pPr>
              <w:jc w:val="center"/>
              <w:rPr>
                <w:b/>
                <w:bCs/>
              </w:rPr>
            </w:pPr>
            <w:r>
              <w:rPr>
                <w:rFonts w:ascii="Times New Roman" w:hAnsi="Times New Roman"/>
                <w:b/>
                <w:sz w:val="14"/>
              </w:rPr>
              <w:t xml:space="preserve">Biological Safety Cabinet EM Bracketing Biological Safety Cabinet (BSC) E001313 on 07Aug26</w:t>
            </w:r>
          </w:p>
        </w:tc>
      </w:tr>
      <w:tr w:rsidR="00847E4E" w14:paraId="339E246C"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F2C257"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167472"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7E2863"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E011D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1184D14"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C51BD21"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No growth</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6D14B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1A1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B4B55A" w14:textId="77777777" w:rsidR="00847E4E" w:rsidRPr="00C37324" w:rsidRDefault="00847E4E" w:rsidP="00601FC1">
            <w:pPr>
              <w:jc w:val="center"/>
              <w:rPr>
                <w:rFonts w:ascii="Times New Roman" w:hAnsi="Times New Roman"/>
                <w:color w:val="000000" w:themeColor="text1"/>
                <w:sz w:val="14"/>
                <w:szCs w:val="14"/>
              </w:rPr>
            </w:pPr>
            <w:r>
              <w:rPr>
                <w:rFonts w:ascii="Times New Roman" w:hAnsi="Times New Roman"/>
                <w:sz w:val="14"/>
              </w:rPr>
              <w:t xml:space="preserve">None</w:t>
            </w:r>
          </w:p>
        </w:tc>
      </w:tr>
      <w:tr w:rsidR="00847E4E" w14:paraId="41EEAFB2"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2FCFE5"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47412E"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C7C5F"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5C094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7DBB3B0"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289662A" w14:textId="77777777" w:rsidR="00847E4E" w:rsidRPr="00B8151E"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2 CFUs on sett 2</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214395"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ETX-260817-0507</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A7B4E"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Insufficient read Gram (+) rods</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92072" w14:textId="77777777" w:rsidR="00847E4E" w:rsidRPr="00C37324" w:rsidRDefault="00847E4E" w:rsidP="00601FC1">
            <w:pPr>
              <w:jc w:val="center"/>
              <w:rPr>
                <w:rFonts w:ascii="Times New Roman" w:hAnsi="Times New Roman"/>
                <w:color w:val="000000" w:themeColor="text1"/>
                <w:sz w:val="14"/>
                <w:szCs w:val="14"/>
              </w:rPr>
            </w:pPr>
            <w:r>
              <w:rPr>
                <w:rFonts w:ascii="Times New Roman" w:hAnsi="Times New Roman"/>
                <w:sz w:val="14"/>
              </w:rPr>
              <w:t xml:space="preserve">plate was desiccated on 5 day read.</w:t>
            </w:r>
          </w:p>
        </w:tc>
      </w:tr>
      <w:tr w:rsidR="00847E4E" w14:paraId="41BF666B"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73DEB47F"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xml:space="preserve">115</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1737</w:t>
            </w:r>
          </w:p>
        </w:tc>
      </w:tr>
      <w:tr w:rsidR="00847E4E" w14:paraId="148B88BC"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6C9017E" w14:textId="77777777" w:rsidR="00847E4E" w:rsidRDefault="00847E4E" w:rsidP="00601FC1">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484B2AD2" w14:textId="77777777" w:rsidR="00847E4E" w:rsidRDefault="00847E4E" w:rsidP="00601FC1">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6B69149"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4F04C94"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31B67FF1" w14:textId="77777777" w:rsidR="00847E4E" w:rsidRDefault="00847E4E" w:rsidP="00601FC1">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57008A" w14:textId="77777777" w:rsidR="00847E4E" w:rsidRDefault="00847E4E" w:rsidP="00601FC1">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BC8C9E" w14:textId="77777777" w:rsidR="00847E4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96B651C" w14:textId="77777777" w:rsidR="00847E4E" w:rsidRDefault="00847E4E" w:rsidP="00601FC1">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812C99A" w14:textId="77777777" w:rsidR="00847E4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3CCD81B" w14:textId="77777777" w:rsidR="00847E4E" w:rsidRDefault="00847E4E" w:rsidP="00601FC1">
            <w:pPr>
              <w:jc w:val="center"/>
            </w:pPr>
            <w:r w:rsidRPr="0061565E">
              <w:rPr>
                <w:rFonts w:ascii="Times New Roman" w:hAnsi="Times New Roman"/>
                <w:color w:val="000000" w:themeColor="text1"/>
                <w:sz w:val="12"/>
                <w:szCs w:val="12"/>
              </w:rPr>
              <w:t>Notes</w:t>
            </w:r>
          </w:p>
        </w:tc>
      </w:tr>
      <w:tr w:rsidR="00847E4E" w14:paraId="6D1DFFE4" w14:textId="77777777" w:rsidTr="00601FC1">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80950C4" w14:textId="77777777" w:rsidR="00847E4E" w:rsidRDefault="00847E4E" w:rsidP="00601FC1">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286C3916"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5AD6B837"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06Aug26</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A65EACC"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SMO</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2ED85A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1 CFU in ISO 8 115</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D2C2C28"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ETX-260817-0370</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2A6DCF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Gram (+) short rods</w:t>
            </w:r>
          </w:p>
        </w:tc>
        <w:tc>
          <w:tcPr>
            <w:tcW w:w="615" w:type="dxa"/>
            <w:tcBorders>
              <w:top w:val="single" w:sz="8" w:space="0" w:color="auto"/>
              <w:left w:val="nil"/>
              <w:bottom w:val="single" w:sz="8" w:space="0" w:color="auto"/>
              <w:right w:val="single" w:sz="8" w:space="0" w:color="auto"/>
            </w:tcBorders>
            <w:vAlign w:val="center"/>
          </w:tcPr>
          <w:p w14:paraId="5678A34F" w14:textId="77777777" w:rsidR="00847E4E" w:rsidRPr="00B8151E" w:rsidRDefault="00847E4E" w:rsidP="00601FC1">
            <w:pPr>
              <w:jc w:val="center"/>
              <w:rPr>
                <w:rFonts w:ascii="Times New Roman" w:hAnsi="Times New Roman"/>
                <w:color w:val="000000" w:themeColor="text1"/>
                <w:sz w:val="14"/>
                <w:szCs w:val="14"/>
              </w:rPr>
            </w:pPr>
            <w:r>
              <w:rPr>
                <w:rFonts w:ascii="Times New Roman" w:hAnsi="Times New Roman"/>
                <w:sz w:val="14"/>
              </w:rPr>
              <w:t xml:space="preserve">None</w:t>
            </w:r>
          </w:p>
        </w:tc>
      </w:tr>
      <w:tr w:rsidR="00847E4E" w14:paraId="0B0D2124"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32EEB7C7"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xml:space="preserve">115</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1737</w:t>
            </w:r>
          </w:p>
        </w:tc>
      </w:tr>
      <w:tr w:rsidR="00847E4E" w14:paraId="480CBA3F"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11BD1F5F"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1F694952"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252E7F0B"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06Aug26</w:t>
            </w:r>
          </w:p>
        </w:tc>
        <w:tc>
          <w:tcPr>
            <w:tcW w:w="731" w:type="dxa"/>
            <w:gridSpan w:val="2"/>
            <w:tcBorders>
              <w:top w:val="nil"/>
              <w:left w:val="single" w:sz="8" w:space="0" w:color="auto"/>
              <w:bottom w:val="single" w:sz="8" w:space="0" w:color="auto"/>
              <w:right w:val="single" w:sz="8" w:space="0" w:color="auto"/>
            </w:tcBorders>
            <w:vAlign w:val="center"/>
          </w:tcPr>
          <w:p w14:paraId="03CCA1F1"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SMO</w:t>
            </w:r>
          </w:p>
        </w:tc>
        <w:tc>
          <w:tcPr>
            <w:tcW w:w="2070" w:type="dxa"/>
            <w:gridSpan w:val="2"/>
            <w:tcBorders>
              <w:top w:val="nil"/>
              <w:left w:val="single" w:sz="8" w:space="0" w:color="auto"/>
              <w:bottom w:val="single" w:sz="8" w:space="0" w:color="auto"/>
              <w:right w:val="single" w:sz="8" w:space="0" w:color="auto"/>
            </w:tcBorders>
            <w:vAlign w:val="center"/>
          </w:tcPr>
          <w:p w14:paraId="5C6D3EF7"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2 CFUs on floor in 115A ISO 7</w:t>
            </w:r>
          </w:p>
        </w:tc>
        <w:tc>
          <w:tcPr>
            <w:tcW w:w="1350" w:type="dxa"/>
            <w:gridSpan w:val="2"/>
            <w:tcBorders>
              <w:top w:val="nil"/>
              <w:left w:val="single" w:sz="8" w:space="0" w:color="auto"/>
              <w:bottom w:val="single" w:sz="8" w:space="0" w:color="auto"/>
              <w:right w:val="single" w:sz="8" w:space="0" w:color="auto"/>
            </w:tcBorders>
            <w:vAlign w:val="center"/>
          </w:tcPr>
          <w:p w14:paraId="66156E35"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ETX-260817-0366</w:t>
            </w:r>
          </w:p>
        </w:tc>
        <w:tc>
          <w:tcPr>
            <w:tcW w:w="1350" w:type="dxa"/>
            <w:gridSpan w:val="2"/>
            <w:tcBorders>
              <w:top w:val="nil"/>
              <w:left w:val="single" w:sz="8" w:space="0" w:color="auto"/>
              <w:bottom w:val="single" w:sz="8" w:space="0" w:color="auto"/>
              <w:right w:val="single" w:sz="8" w:space="0" w:color="auto"/>
            </w:tcBorders>
            <w:vAlign w:val="center"/>
          </w:tcPr>
          <w:p w14:paraId="5F31D758"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Bacillus megaterium</w:t>
            </w:r>
          </w:p>
        </w:tc>
        <w:tc>
          <w:tcPr>
            <w:tcW w:w="615" w:type="dxa"/>
            <w:tcBorders>
              <w:top w:val="nil"/>
              <w:left w:val="nil"/>
              <w:bottom w:val="single" w:sz="8" w:space="0" w:color="auto"/>
              <w:right w:val="single" w:sz="8" w:space="0" w:color="000000" w:themeColor="text1"/>
            </w:tcBorders>
            <w:vAlign w:val="center"/>
          </w:tcPr>
          <w:p w14:paraId="161F40FC" w14:textId="77777777" w:rsidR="00847E4E" w:rsidRPr="00957AC1" w:rsidRDefault="00847E4E" w:rsidP="00601FC1">
            <w:pPr>
              <w:jc w:val="center"/>
              <w:rPr>
                <w:rFonts w:ascii="Times New Roman" w:hAnsi="Times New Roman"/>
                <w:color w:val="000000" w:themeColor="text1"/>
                <w:sz w:val="14"/>
                <w:szCs w:val="14"/>
              </w:rPr>
            </w:pPr>
            <w:r>
              <w:rPr>
                <w:rFonts w:ascii="Times New Roman" w:hAnsi="Times New Roman"/>
                <w:sz w:val="14"/>
              </w:rPr>
              <w:t xml:space="preserve">None</w:t>
            </w:r>
          </w:p>
        </w:tc>
      </w:tr>
    </w:tbl>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261814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