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1: Information for ETX-260929-0931 under investigation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80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Processing Analyst</w:t>
            </w:r>
          </w:p>
        </w:tc>
        <w:tc>
          <w:tcPr>
            <w:tcW w:type="dxa" w:w="180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Reading Analyst</w:t>
            </w:r>
          </w:p>
        </w:tc>
        <w:tc>
          <w:tcPr>
            <w:tcW w:type="dxa" w:w="158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Sample ID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Events</w:t>
            </w:r>
          </w:p>
        </w:tc>
        <w:tc>
          <w:tcPr>
            <w:tcW w:type="dxa" w:w="172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Confirmed Microbial</w:t>
              <w:br/>
              <w:t>Events</w:t>
            </w:r>
          </w:p>
        </w:tc>
        <w:tc>
          <w:tcPr>
            <w:tcW w:type="dxa" w:w="288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Morphology Description</w:t>
            </w:r>
          </w:p>
        </w:tc>
      </w:tr>
      <w:tr>
        <w:tc>
          <w:tcPr>
            <w:tcW w:type="dxa" w:w="180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Ellen Bennett</w:t>
            </w:r>
          </w:p>
        </w:tc>
        <w:tc>
          <w:tcPr>
            <w:tcW w:type="dxa" w:w="180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Varsha Subramanian</w:t>
            </w:r>
          </w:p>
        </w:tc>
        <w:tc>
          <w:tcPr>
            <w:tcW w:type="dxa" w:w="158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9">
              <w:r>
                <w:rPr>
                  <w:rFonts w:ascii="Times New Roman" w:hAnsi="Times New Roman"/>
                  <w:sz w:val="14"/>
                  <w:color w:val="0000FF"/>
                  <w:u w:val="single"/>
                </w:rPr>
                <w:t>ETX-260929-0931</w:t>
              </w:r>
            </w:hyperlink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15</w:t>
            </w:r>
          </w:p>
        </w:tc>
        <w:tc>
          <w:tcPr>
            <w:tcW w:type="dxa" w:w="172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4</w:t>
            </w:r>
          </w:p>
        </w:tc>
        <w:tc>
          <w:tcPr>
            <w:tcW w:type="dxa" w:w="2880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4"/>
              </w:rPr>
              <w:t>Cocci shaped morphology</w:t>
            </w:r>
          </w:p>
        </w:tc>
      </w:tr>
    </w:tbl>
    <w:p>
      <w:pPr>
        <w:spacing w:before="120" w:after="0"/>
      </w:pPr>
    </w:p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2: Environmental Monitoring from Testing Performed on 01Oct26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Environmental</w:t>
              <w:br/>
              <w:t>Monitoring (EM)</w:t>
              <w:br/>
              <w:t>Sampling Site</w:t>
            </w:r>
          </w:p>
        </w:tc>
        <w:tc>
          <w:tcPr>
            <w:tcW w:type="dxa" w:w="93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Frequency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</w:t>
              <w:br/>
              <w:t>(DDMMMYY)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Analyst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Day /Week(s)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Observation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EM Plate ETX</w:t>
              <w:br/>
              <w:t>Number</w:t>
            </w:r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Notes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Personnel EM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</w:t>
              <w:br/>
              <w:t>and Right Touch)</w:t>
            </w:r>
          </w:p>
        </w:tc>
        <w:tc>
          <w:tcPr>
            <w:tcW w:type="dxa" w:w="93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ELB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(Scan)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Personal (Left Touch</w:t>
              <w:br/>
              <w:t>and Right Touch)</w:t>
            </w:r>
          </w:p>
        </w:tc>
        <w:tc>
          <w:tcPr>
            <w:tcW w:type="dxa" w:w="93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KSM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 C/O)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Biological Safety Cabinet EM for E001938 and E001937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</w:t>
              <w:br/>
              <w:t>ISO 5 BSC E001938</w:t>
              <w:br/>
              <w:t>(4 Locations)</w:t>
            </w:r>
          </w:p>
        </w:tc>
        <w:tc>
          <w:tcPr>
            <w:tcW w:type="dxa" w:w="93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ELB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(Scan)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</w:t>
              <w:br/>
              <w:t>ISO 5 BSC E001937</w:t>
              <w:br/>
              <w:t>(4 Locations)</w:t>
            </w:r>
          </w:p>
        </w:tc>
        <w:tc>
          <w:tcPr>
            <w:tcW w:type="dxa" w:w="93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KSM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 C/O)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</w:t>
              <w:br/>
              <w:t>ISO 5 BSC E001938</w:t>
            </w:r>
          </w:p>
        </w:tc>
        <w:tc>
          <w:tcPr>
            <w:tcW w:type="dxa" w:w="93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ELB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(Scan)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</w:t>
              <w:br/>
              <w:t>ISO 5 BSC E001937</w:t>
            </w:r>
          </w:p>
        </w:tc>
        <w:tc>
          <w:tcPr>
            <w:tcW w:type="dxa" w:w="93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KSM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  <w:br/>
              <w:t>(Scan C/O)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Weekly Active Air Sampling of Cleanroom 145, 144, 143, 142 (L-Suite) with Processing BSCs</w:t>
            </w:r>
          </w:p>
        </w:tc>
      </w:tr>
      <w:tr>
        <w:tc>
          <w:tcPr>
            <w:tcW w:type="dxa" w:w="1512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</w:t>
              <w:br/>
              <w:t>of Cleanrooms</w:t>
            </w:r>
          </w:p>
        </w:tc>
        <w:tc>
          <w:tcPr>
            <w:tcW w:type="dxa" w:w="936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008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92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656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3"/>
              </w:rPr>
              <w:t>1 CFU</w:t>
              <w:br/>
              <w:t>(ISO 7 144 Sec II)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10">
              <w:r>
                <w:rPr>
                  <w:rFonts w:ascii="Times New Roman" w:hAnsi="Times New Roman"/>
                  <w:sz w:val="13"/>
                  <w:color w:val="0000FF"/>
                  <w:u w:val="single"/>
                </w:rPr>
                <w:t>ETX-261012-0430</w:t>
              </w:r>
            </w:hyperlink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12"/>
              </w:rPr>
              <w:t>S. epidermidis</w:t>
              <w:br/>
            </w:r>
            <w:r>
              <w:rPr>
                <w:rFonts w:ascii="Times New Roman" w:hAnsi="Times New Roman"/>
                <w:sz w:val="11"/>
              </w:rPr>
              <w:t>(Gram (+) cocci)</w:t>
            </w:r>
          </w:p>
        </w:tc>
        <w:tc>
          <w:tcPr>
            <w:tcW w:type="dxa" w:w="864"/>
            <w:vMerge w:val="restart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3"/>
              </w:rPr>
              <w:t>None</w:t>
            </w:r>
          </w:p>
        </w:tc>
      </w:tr>
      <w:tr>
        <w:tc>
          <w:tcPr>
            <w:tcW w:type="dxa" w:w="1200"/>
            <w:vMerge/>
          </w:tcPr>
          <w:p/>
        </w:tc>
        <w:tc>
          <w:tcPr>
            <w:tcW w:type="dxa" w:w="1200"/>
            <w:vMerge/>
          </w:tcPr>
          <w:p/>
        </w:tc>
        <w:tc>
          <w:tcPr>
            <w:tcW w:type="dxa" w:w="1200"/>
            <w:vMerge/>
          </w:tcPr>
          <w:p/>
        </w:tc>
        <w:tc>
          <w:tcPr>
            <w:tcW w:type="dxa" w:w="1200"/>
            <w:vMerge/>
          </w:tcPr>
          <w:p/>
        </w:tc>
        <w:tc>
          <w:tcPr>
            <w:tcW w:type="dxa" w:w="1200"/>
            <w:vMerge/>
          </w:tcPr>
          <w:p/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3"/>
              </w:rPr>
              <w:t>5 CFUs</w:t>
              <w:br/>
              <w:t>(ISO 8 142)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11">
              <w:r>
                <w:rPr>
                  <w:rFonts w:ascii="Times New Roman" w:hAnsi="Times New Roman"/>
                  <w:sz w:val="13"/>
                  <w:color w:val="0000FF"/>
                  <w:u w:val="single"/>
                </w:rPr>
                <w:t>ETX-261012-0433</w:t>
              </w:r>
            </w:hyperlink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2"/>
              </w:rPr>
              <w:t>Gram (+) rods,</w:t>
              <w:br/>
              <w:t>Gram (-) rods,</w:t>
              <w:br/>
              <w:t>Gram (+) cocci</w:t>
            </w:r>
          </w:p>
        </w:tc>
        <w:tc>
          <w:tcPr>
            <w:tcW w:type="dxa" w:w="1200"/>
            <w:vMerge/>
          </w:tcPr>
          <w:p/>
        </w:tc>
      </w:tr>
      <w:tr>
        <w:tc>
          <w:tcPr>
            <w:tcW w:type="dxa" w:w="864"/>
            <w:gridSpan w:val="9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Weekly Surface Sampling of Cleanroom 145, 144, 143, 142 (L-Suite) with Processing BSCs</w:t>
            </w:r>
          </w:p>
        </w:tc>
      </w:tr>
      <w:tr>
        <w:tc>
          <w:tcPr>
            <w:tcW w:type="dxa" w:w="151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</w:t>
              <w:br/>
              <w:t>Cleanrooms</w:t>
            </w:r>
          </w:p>
        </w:tc>
        <w:tc>
          <w:tcPr>
            <w:tcW w:type="dxa" w:w="93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1008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01Oct26</w:t>
            </w:r>
          </w:p>
        </w:tc>
        <w:tc>
          <w:tcPr>
            <w:tcW w:type="dxa" w:w="79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656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22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1152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sM81r08$r4X9k5LrerlJ7g__" TargetMode="External"/><Relationship Id="rId10" Type="http://schemas.openxmlformats.org/officeDocument/2006/relationships/hyperlink" Target="https://etrax.eagleanalytical.com/Submission/Details/xxCNoUxIy4doEwKyIX-rYg__" TargetMode="External"/><Relationship Id="rId11" Type="http://schemas.openxmlformats.org/officeDocument/2006/relationships/hyperlink" Target="https://etrax.eagleanalytical.com/Submission/Details/Qr5FQ8nlCFY1Y9QOAyCjZ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