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America Alanis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01Sep26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ETX-260828-0527</w:t>
              <w:br/>
              <w:t xml:space="preserve"/>
              <w:br/>
              <w:t xml:space="preserve">Optimal Balance Pharmacy (E19193)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Prepping Analyst:</w:t>
              <w:br/>
              <w:t xml:space="preserve">Andrew Carrillo (AC)</w:t>
              <w:br/>
              <w:t xml:space="preserve"/>
              <w:br/>
              <w:t xml:space="preserve">Processing Analyst:</w:t>
              <w:br/>
              <w:t xml:space="preserve">Gabrielle Surber (GS)</w:t>
              <w:br/>
              <w:t xml:space="preserve"/>
              <w:br/>
              <w:t xml:space="preserve">Aliquoting Analyst:</w:t>
              <w:br/>
              <w:t xml:space="preserve">Cuong Du (CCD)</w:t>
              <w:br/>
              <w:t xml:space="preserve"/>
              <w:br/>
              <w:t xml:space="preserve">Reading Analyst:</w:t>
              <w:br/>
              <w:t xml:space="preserve">America Alanis (ALA)</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MOTs-C 10 MG/ML (5 ML) Injection</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LG342010349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Injection</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08Sep26, sample ETX-260828-0527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08Sep26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Andrew Carrillo, Gabrielle Surber, America Alanis, and Cuong Du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ETX-260828-0527</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Not Applicable</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refrigerated as per client instructions. Information is available in EagleTrax Sample Location History under ETX-260828-0527</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(CR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t>All analysts involved in the preparation, processing, aliquoting, and reading of the samples, Andrew Carrillo, Gabrielle Surber, America Alanis, and Cuong Du, were interviewed comprehensively. Their responses are documented throughout this report. This investigation was performed as per MICRO-SOP-53 Sterility Test Out-of-Specification (OOS) Investigation Procedure.</w:t>
              <w:br/>
              <w:br/>
              <w:t>Upon arrival, the sample was stored refrigerated in accordance with the client instructions. Both sample prepping analyst Andrew Carrillo and processing analyst Gabrielle Surber inspected the sample during preparation and processing. No leaks or visible turbidity were observed, and no evidence of compromised container integrity was identified.</w:t>
              <w:br/>
              <w:br/>
              <w:t>All reagents and supplies mentioned in the material section above were stored according to supplier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br/>
              <w:t>The cleanroom suite used for processing procedures (CR114)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w:t>
              <w:br/>
              <w:br/>
              <w:t>The innermost ISO 7 cleanroom 114B and its ISO 5 BSC E001316 were thoroughly cleaned and prepared before initiating testing by analyst Gabrielle Surber as per MICRO-SOP-2 (Environmental Monitoring of the Clean Room Facility) and MICRO-SOP-9 (Cleaning and Disinfecting Procedure for Microbiology). For Celsis aliquoting, intermediate ISO 7 buffer room 114A and its ISO 5 BSC E001798 were thoroughly cleaned and prepared by analyst Cuong Du before initiating testing as per MICRO-SOP-44 and MICRO-SOP-9. Both BSCs, E001316 in 114B and E001798 in 114A, were certified and approved by the Engineering and Quality Assurance teams prior to use.</w:t>
              <w:br/>
              <w:br/>
              <w:t>On 01 Sep 2026, the sample vials for ETX-260828-0527 were received from the Sample Submissions team and brought into the Sterile Microbiology lab. Upon arrival, each vial was sprayed with an acidified bleach disinfectant, placed into pre-disinfected bins, and allowed a 10-minute contact time. Secondary disinfection was performed in the ISO 8 anteroom (114), where the vials were again treated with acidified bleach with a 10-minute contact time before transfer into cleanroom 114B. Inside 114B, processing analyst Gabrielle Surber performed a final disinfection step with a 10-minute contact time. Once fully disinfected, the vials were transferred into the ISO 5 BSC E001316, placed on the disinfected work surface, aseptically opened, and tested in accordance with MICRO-SOP-44. Direct inoculation was performed by adding 25 mL of sample per media type, using five 300 mL FTM jars and five 300 mL TSB jars. In accordance with suitability method record 2601120497, one gram of Bovine Serum Albumin was prepared in 100 mL of PBS, and 5 mL of this solution was added to each jar. Following testing, the media bottles were transferred into incubators E001356 and E001357 to initiate incubation.</w:t>
              <w:br/>
              <w:br/>
              <w:t>Upon completion of incubation on 08 Sep 2026, the media bottles for ETX-260828-0527 were disinfected and transferred to the middle ISO 7 buffer room (114A) for the aliquoting step per MICRO-SOP-44 (Celsis Sterility Testing). In cleanroom 114A, the media bottles were disinfected one more time before transfer into the ISO 5 BSC E001798 located in cleanroom 114A. In ISO 5 BSC E001798, the sample was aliquoted into assay cuvettes by analyst Cuong Du. Following aliquoting, Celsis Sterility Reading was performed in accordance with MICRO-SOP-44 by analyst America Alanis.</w:t>
              <w:br/>
              <w:br/>
              <w:t>Following the reading, sample ETX-260828-0527 was found to yield a positive reading in one of the 300 mL FTM media jars (ETX-260828-0527-3/5). The average Relative Luminescence Units (RLU) from the duplicate reading tube, originating from the FTM sample bottle, yielded 7,190 RLU, which exceeded the method cutoff of 2,955 RLU, where the FTM negative control was 985 RLU. All other FTM and TSB sample bottles in the same batch tested negative. The %CV from the duplicate reading tubes for the positive FTM bottles was well within the specification ( 30%). Additionally, all Daily Controls, including the Instrument Blank, Reagent Blank, and ATP Positive Control, were within the defined specifications, each with a %CV below 30%.</w:t>
              <w:br/>
              <w:br/>
              <w:t>Following the OOS result, the positive FTM bottle for ETX-260828-0527 was submitted for Differential Staining and Microbial Identification under ETX-260908-0593. No microbial growth was recovered by subculture, with zero CFU observed on the plate as shown in Table 1, and no cellular morphology was visualized by differential staining. Therefore, no organism was recovered for identification or further microbiological comparison. The lack of recovery on subculture does not invalidate the initial analytical Celsis result and may be consistent with low-level or stressed microbial cells under the test conditions, though a specific physiological state could not be confirmed.</w:t>
              <w:br/>
              <w:br/>
              <w:t>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br/>
              <w:br/>
              <w:t>Monthly cleaning and disinfection of the outermost ISO 8 Anteroom, the middle ISO 7 Buffer room, the innermost ISO 7 cleanroom, and its containing ISO 5 Biosafety Cabinets for CR114 was performed on 30 Aug 2026, as per MICRO-SOP-9 (Cleaning and Disinfecting Procedure for Microbiology). It was documented that all H2O2 indicators passed. This confirms the efficient monthly cleaning of all three parts of Cleanroom 114.</w:t>
              <w:br/>
              <w:br/>
              <w:t>Attached Tables 2 and 3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br/>
              <w:t>A review of the Environmental Monitoring (EM) results for the relevant Celsis Sterility processing period showed no microbial growth on personnel monitoring plates, settling plates, or ISO 5 BSC E001316 surface sampling plates on the date of testing (01Sep2026), the preceding sampling date (31Aug2026), or the subsequent sampling date (02Sep2026). Weekly active air and surface sampling of the cleanroom suite associated with processing was performed on 04Sep2026. No microbial recovery was observed from weekly surface sampling of the cleanroom suite. Active air sampling showed recovery of 1 CFU (ETX-260914-0487) in the ISO 8 area, identified as Corynebacterium ureicelerivorans (Gram-positive short rods) and Mycobacterium grossiae (Gram-positive rods), with zero recovery observed in the ISO 7 buffer or cleanrooms.</w:t>
              <w:br/>
              <w:br/>
              <w:t>After reviewing the Environmental Monitoring (EM) results for the relevant Celsis Sterility aliquoting period, no microbial growth was observed on personnel monitoring plates, ISO 5 BSC E001798 surface sampling plates, or settling plates on the date of aliquoting (08Sep2026), the preceding sampling date (07Sep2026), or the subsequent sampling date (09Sep2026). Weekly active air sampling of the cleanroom suite performed on 10Sep2026 showed recovery of 1 CFU (ETX-260921-0520) in the ISO 8 area, identified as Micrococcus luteus (Gram-positive cocci), with zero recovery in the ISO 7 buffer or cleanrooms, and weekly surface sampling of the cleanroom suite showed no growth.</w:t>
              <w:br/>
              <w:br/>
              <w:t>Evaluation of Environmental Monitoring Results: It is important to note that, for both processing and aliquoting activities, the samples are processed within validated ISO 5 BSCs (E001316 and E001798 respectively). Although microbial recovery was observed from weekly active air monitoring in the outermost ISO 8 room 114 background environment in cleanroom suite (CR114), these recoveries were not obtained from the ISO 5 processing environment or the ISO 7 cleanroom environment.</w:t>
              <w:br/>
              <w:br/>
              <w:t>The absence of microbial recovery from both the processing and the aliquoting analyst glove plates, ISO 5 BSC surface monitoring plates, and ISO 5 settling plates indicates that no identifiable contamination transfer pathway existed between the monitored background cleanroom environment and the ISO 5 critical processing areas. Samples were also prepared and transferred into disinfected, lidded containers and transported on carts within the controlled cleanroom environment. Therefore, while the active air results demonstrate microbial recovery in the surrounding ISO 8 area, there is no evidence that the recovery originated from, or affected, the ISO 5 BSC environment where the test sample was handled and processed.</w:t>
              <w:br/>
              <w:br/>
              <w:t>All analysts confirmed full compliance with cleaning procedures as outlined in MICRO-SOP-9 (Cleaning and Disinfecting Procedure for Microbiology) and MICRO-SOP-44 (Celsis Sterility Testing). A review of the available data confirms that the cleanroom and equipment conditions remained within acceptable parameters. No deviations or obvious signs of laboratory error during processing and aliquoting were noted from analysts.</w:t>
              <w:br/>
              <w:br/>
              <w:t>No other sample processed by analyst Gabrielle Surber on 01 Sep 2026 and aliquoted by analyst Cuong Du on 08 Sep 2026, failed Celsis Sterility testing that day. To assess the potential for sample-to-sample contamination contributing to the positive results, a comprehensive review was conducted of all samples processed in the same batch. All other samples processed by the same analyst on the day of testing were found to test negative for microbial growth. These findings suggest that cross-contamination between samples is unlikely.</w:t>
              <w:br/>
              <w:br/>
              <w:t>Analyzing a 6-month sample history for Optimal Balance Pharmacy indicates, this specific analyte "MOTs-C 10 MG/ML (5 ML) Injection" has had no prior failures using the Celsis Sterility testing during this period.</w:t>
              <w:br/>
              <w:br/>
              <w:t>Based on the laboratory investigation, no assignable laboratory cause was identified involving the analyst, instrument, reagents, supplies, or monitored laboratory environment. The initial Celsis OOS result therefore remains valid in accordance with the applicable laboratory OOS procedure.</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ETX-260828-0527</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Gabrielle Surber</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America Alanis</w:t>
            </w:r>
          </w:p>
        </w:tc>
        <w:tc>
          <w:tcPr>
            <w:tcW w:w="1400" w:type="dxa"/>
            <w:vAlign w:val="center"/>
          </w:tcPr>
          <w:p>
            <w:pPr>
              <w:spacing w:line="360" w:lineRule="auto"/>
              <w:jc w:val="center"/>
              <w:rPr>
                <w:rFonts w:ascii="Times New Roman" w:hAnsi="Times New Roman"/>
                <w:sz w:val="14"/>
                <w:szCs w:val="14"/>
              </w:rPr>
            </w:pPr>
            <w:hyperlink r:id="rId19" w:history="1">
              <w:r>
                <w:rPr>
                  <w:rStyle w:val="Hyperlink"/>
                  <w:rFonts w:ascii="Times New Roman" w:hAnsi="Times New Roman"/>
                  <w:color w:val="0000FF"/>
                  <w:sz w:val="14"/>
                  <w:szCs w:val="14"/>
                  <w:u w:val="single"/>
                </w:rPr>
                <w:t>ETX-260828-0527</w:t>
              </w:r>
            </w:hyperlink>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No growth was obtained-</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08Sep26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Gabrielle Surber</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Optimal Balance Pharmacy (E19193)</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MOTs-C 10 MG/ML (5 ML) Injection</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hyperlink" Target="https://etrax.eagleanalytical.com/SubmissionTest/Details/jzraMOOTFYUFD%24erkwgubw__"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