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</w:pPr>
      <w:r>
        <w:rPr>
          <w:rFonts w:ascii="Times New Roman" w:hAnsi="Times New Roman"/>
          <w:b/>
          <w:sz w:val="19"/>
        </w:rPr>
        <w:t>Table 1: Information for ETX-260806-0702 (BUD-T30) under investigation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rPr>
          <w:trHeight w:val="220" w:hRule="atLeast"/>
        </w:trPr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Processing Analyst</w:t>
            </w:r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Reading Analyst</w:t>
            </w:r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Sample ID</w:t>
            </w:r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Related Microbial ID</w:t>
            </w:r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Media with Microbial growth</w:t>
            </w:r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Morphology Description</w:t>
            </w:r>
          </w:p>
        </w:tc>
      </w:tr>
      <w:tr>
        <w:trPr>
          <w:trHeight w:val="220" w:hRule="atLeast"/>
        </w:trPr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Alex Saravia</w:t>
            </w:r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Andrew Carrillo</w:t>
            </w:r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hyperlink r:id="rId9" w:history="1">
              <w:r>
                <w:rPr>
                  <w:rStyle w:val="Hyperlink"/>
                  <w:rFonts w:ascii="Times New Roman" w:hAnsi="Times New Roman"/>
                  <w:color w:val="467886"/>
                  <w:sz w:val="15"/>
                  <w:szCs w:val="15"/>
                  <w:u w:val="single"/>
                </w:rPr>
                <w:t>ETX-260806-0702 (BUD-T30)</w:t>
              </w:r>
            </w:hyperlink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hyperlink r:id="rId10" w:history="1">
              <w:r>
                <w:rPr>
                  <w:rStyle w:val="Hyperlink"/>
                  <w:rFonts w:ascii="Times New Roman" w:hAnsi="Times New Roman"/>
                  <w:color w:val="467886"/>
                  <w:sz w:val="15"/>
                  <w:szCs w:val="15"/>
                  <w:u w:val="single"/>
                </w:rPr>
                <w:t>ETX-260907-0017</w:t>
              </w:r>
            </w:hyperlink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 x 100 mL TSB</w:t>
            </w:r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Paenibacillus lautus</w:t>
              <w:br/>
              <w:t>(Gram (+) rods)</w:t>
            </w:r>
          </w:p>
        </w:tc>
      </w:tr>
    </w:tbl>
    <w:p>
      <w:pPr>
        <w:spacing w:before="160" w:after="60"/>
      </w:pPr>
      <w:r>
        <w:rPr>
          <w:rFonts w:ascii="Times New Roman" w:hAnsi="Times New Roman"/>
          <w:b/>
          <w:sz w:val="19"/>
        </w:rPr>
        <w:t>Table 2: Environmental Monitoring for Analyst &amp; Cleanroom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16"/>
        <w:gridCol w:w="1216"/>
        <w:gridCol w:w="1216"/>
        <w:gridCol w:w="1216"/>
        <w:gridCol w:w="1216"/>
        <w:gridCol w:w="1216"/>
        <w:gridCol w:w="1216"/>
        <w:gridCol w:w="1216"/>
        <w:gridCol w:w="1216"/>
      </w:tblGrid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4"/>
              </w:rPr>
              <w:t>Environmental Monitoring (EM) Sampling Site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4"/>
              </w:rPr>
              <w:t>Frequency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4"/>
              </w:rPr>
              <w:t>Date</w:t>
              <w:br/>
              <w:t>(DDMM</w:t>
              <w:br/>
              <w:t>YYYY)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4"/>
              </w:rPr>
              <w:t>Analyst (Initials)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4"/>
              </w:rPr>
              <w:t>Day /Week(s)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4"/>
              </w:rPr>
              <w:t>Observation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4"/>
              </w:rPr>
              <w:t>Environmental Monitoring Plate ETX ID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4"/>
              </w:rPr>
              <w:t>Microbial ID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4"/>
              </w:rPr>
              <w:t>Notes</w:t>
            </w:r>
          </w:p>
        </w:tc>
      </w:tr>
      <w:tr>
        <w:trPr>
          <w:trHeight w:val="220" w:hRule="atLeast"/>
        </w:trPr>
        <w:tc>
          <w:tcPr>
            <w:tcW w:type="dxa" w:w="10944"/>
            <w:gridSpan w:val="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Personnel EM Bracketing 31Aug2026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Personal (Left Touch and Right Touch)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28 Aug 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ES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Date Before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Personal (Left Touch and Right Touch)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31 Aug 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ES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Date of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Personal (Left Touch and Right Touch)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01 Sep 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ES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Date After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0944"/>
            <w:gridSpan w:val="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Biological Safety Cabinet EM Bracketing Biological Safety Cabinet (BSC) E001316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 ISO 5 (4 locations)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28 Aug 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ES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Date Before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 ISO 5 (4 locations)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31 Aug 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ES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Date of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 ISO 5 (4 locations)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01 Sep 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ES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Date After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Settling Sampling of ISO 5 (2 locations)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28 Aug 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ES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Date Before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Settling Sampling of ISO 5 (2 locations)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31 Aug 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ES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Date of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Settling Sampling of ISO 5 (2 locations)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01 Sep 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ES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Date After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0944"/>
            <w:gridSpan w:val="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Weekly Active Air Sampling of CR 114 (E001736)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Active Air Sampling of Cleanrooms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Weekly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04 Sep 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SMO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Week of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1 CFU</w:t>
              <w:br/>
              <w:t>(ISO 8 114)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ETX-260914-0487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Pending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0944"/>
            <w:gridSpan w:val="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Surface Sampling of Anteroom and Cleanroom of CR 114 (E001736)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 Cleanrooms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Weekly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04 Sep 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SMO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Week of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</w:tbl>
    <w:sectPr w:rsidR="00FC693F" w:rsidRPr="0006063C" w:rsidSect="00034616">
      <w:pgSz w:w="12240" w:h="15840"/>
      <w:pgMar w:top="576" w:right="648" w:bottom="576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trax.eagleanalytical.com/Submission/Details/l-JhbNGUHLdQSKAIyoIIMg__" TargetMode="External"/><Relationship Id="rId10" Type="http://schemas.openxmlformats.org/officeDocument/2006/relationships/hyperlink" Target="https://etrax.eagleanalytical.com/Submission/Details/e33ICd2xlQzZ9QFbX10xKA__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