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365D"/>
          <w:sz w:val="28"/>
        </w:rPr>
        <w:t>EAGLE ANALYTICAL SERVICES</w:t>
      </w:r>
    </w:p>
    <w:p>
      <w:pPr>
        <w:jc w:val="center"/>
      </w:pPr>
      <w:r>
        <w:rPr>
          <w:b/>
          <w:color w:val="2B6CB0"/>
          <w:sz w:val="22"/>
        </w:rPr>
        <w:t>QUALITY RISK ASSESSMENT &amp; PRODUCT IMPACT EVALUATION ADDENDUM</w:t>
        <w:br/>
        <w:t>Associated with Nonconformance Report NCR# N26436</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NCR Number:</w:t>
            </w:r>
            <w:r>
              <w:rPr>
                <w:sz w:val="17"/>
              </w:rPr>
              <w:t xml:space="preserve"> N26436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Date of Evaluation:</w:t>
            </w:r>
            <w:r>
              <w:rPr>
                <w:sz w:val="17"/>
              </w:rPr>
              <w:t xml:space="preserve"> 26-Aug-2026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Department:</w:t>
            </w:r>
            <w:r>
              <w:rPr>
                <w:sz w:val="17"/>
              </w:rPr>
              <w:t xml:space="preserve"> Microbiology (Sterility)</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Affected Location:</w:t>
            </w:r>
            <w:r>
              <w:rPr>
                <w:sz w:val="17"/>
              </w:rPr>
              <w:t xml:space="preserve"> Cleanroom Suite 114 (Anteroom &amp; Buffer Room)</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Missed Period:</w:t>
            </w:r>
            <w:r>
              <w:rPr>
                <w:sz w:val="17"/>
              </w:rPr>
              <w:t xml:space="preserve"> 03-Aug-2026 to 14-Aug-2026 (2 Weeks)</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40" w:after="40"/>
            </w:pPr>
            <w:r>
              <w:rPr>
                <w:b/>
                <w:color w:val="1A365D"/>
                <w:sz w:val="17"/>
              </w:rPr>
              <w:t>Applicable SOPs:</w:t>
            </w:r>
            <w:r>
              <w:rPr>
                <w:sz w:val="17"/>
              </w:rPr>
              <w:t xml:space="preserve"> MICRO-SOP-2, CORP-SOP-4, SOP 2.100.019</w:t>
            </w:r>
          </w:p>
        </w:tc>
      </w:tr>
    </w:tbl>
    <w:p>
      <w:pPr>
        <w:spacing w:after="80"/>
      </w:pPr>
    </w:p>
    <w:p>
      <w:pPr>
        <w:keepNext/>
        <w:spacing w:before="160" w:after="60"/>
      </w:pPr>
      <w:r>
        <w:rPr>
          <w:b/>
          <w:color w:val="1A365D"/>
          <w:sz w:val="22"/>
        </w:rPr>
        <w:t>1. Executive Summary &amp; Nonconformance Scope</w:t>
      </w:r>
    </w:p>
    <w:p>
      <w:pPr>
        <w:spacing w:before="0" w:after="60" w:line="276" w:lineRule="auto"/>
      </w:pPr>
      <w:r>
        <w:rPr>
          <w:color w:val="2D3748"/>
          <w:sz w:val="18"/>
        </w:rPr>
        <w:t>During routine supervisory review of environmental monitoring records, it was identified that routine weekly surface sampling (RODAC contact plates) and active air sampling for Cleanroom Suite 114 (Anteroom ISO 8 and Buffer Room ISO 7) were inadvertently omitted by EM analyst SMO for two consecutive weekly cycles spanning 03-Aug-2026 through 14-Aug-2026, as required by MICRO-SOP-2 (Environmental Monitoring of the Clean Room Facility). The primary root cause was determined to be analyst oversight during high-throughput operational cycles, compounded by the lack of an active end-of-week EM schedule reconciliation tracking mechanism.</w:t>
      </w:r>
    </w:p>
    <w:p>
      <w:pPr>
        <w:spacing w:before="0" w:after="60" w:line="276" w:lineRule="auto"/>
      </w:pPr>
      <w:r>
        <w:rPr>
          <w:color w:val="2D3748"/>
          <w:sz w:val="18"/>
        </w:rPr>
        <w:t>Because five (5) Celsis sterility testing Out-Of-Specification (OOS) investigations were initiated for sample submissions processed in Cleanroom Suite 114 during this exact timeframe, this Quality Risk Assessment was conducted to evaluate the state of environmental control, assess product impact, and provide a scientifically justified risk basis for each correlated OOS investigation.</w:t>
      </w:r>
    </w:p>
    <w:p>
      <w:pPr>
        <w:keepNext/>
        <w:spacing w:before="160" w:after="60"/>
      </w:pPr>
      <w:r>
        <w:rPr>
          <w:b/>
          <w:color w:val="1A365D"/>
          <w:sz w:val="22"/>
        </w:rPr>
        <w:t>2. Correlated Sterility Out-Of-Specification (OOS) Investigations</w:t>
      </w:r>
    </w:p>
    <w:p>
      <w:pPr>
        <w:spacing w:before="0" w:after="60" w:line="276" w:lineRule="auto"/>
      </w:pPr>
      <w:r>
        <w:rPr>
          <w:color w:val="2D3748"/>
          <w:sz w:val="18"/>
        </w:rPr>
        <w:t>A comprehensive audit of all laboratory testing conducted in Cleanroom Suite 114 between 03-Aug-2026 and 14-Aug-2026 identified the following five (5) sterility test failure investigations:</w:t>
      </w:r>
    </w:p>
    <w:tbl>
      <w:tblPr>
        <w:tblW w:type="auto" w:w="0"/>
        <w:jc w:val="center"/>
        <w:tblLayout w:type="fixed"/>
        <w:tblLook w:firstColumn="1" w:firstRow="1" w:lastColumn="0" w:lastRow="0" w:noHBand="0" w:noVBand="1" w:val="04A0"/>
      </w:tblPr>
      <w:tblGrid>
        <w:gridCol w:w="1680"/>
        <w:gridCol w:w="1680"/>
        <w:gridCol w:w="1680"/>
        <w:gridCol w:w="1680"/>
        <w:gridCol w:w="1680"/>
        <w:gridCol w:w="1680"/>
      </w:tblGrid>
      <w:tr>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Submission ID (ETX)</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OOS Number</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Test Method</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Client / Sample Description</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Test Date</w:t>
            </w:r>
          </w:p>
        </w:tc>
        <w:tc>
          <w:tcPr>
            <w:tcW w:type="dxa" w:w="1680"/>
            <w:shd w:fill="1A365D"/>
            <w:tcBorders>
              <w:top w:val="single" w:sz="4" w:space="0" w:color="1A365D"/>
              <w:bottom w:val="single" w:sz="4" w:space="0" w:color="1A365D"/>
              <w:left w:val="single" w:sz="4" w:space="0" w:color="1A365D"/>
              <w:right w:val="single" w:sz="4" w:space="0" w:color="1A365D"/>
            </w:tcBorders>
          </w:tcPr>
          <w:p>
            <w:pPr>
              <w:spacing w:before="60" w:after="60"/>
              <w:jc w:val="center"/>
            </w:pPr>
            <w:r>
              <w:rPr>
                <w:b/>
                <w:color w:val="FFFFFF"/>
                <w:sz w:val="17"/>
              </w:rPr>
              <w:t>Investigation Status</w:t>
            </w:r>
          </w:p>
        </w:tc>
      </w:tr>
      <w:tr>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ETX-260729-0660</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OOS-261824</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Celsis Sterility</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Boudreaux's New Drug Store (E01607)</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03-Aug-2026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Phase I in progress (Micro ID pending ECD 20-Aug-26)</w:t>
            </w:r>
          </w:p>
        </w:tc>
      </w:tr>
      <w:tr>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ETX-260803-0212</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OOS-261861</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Celsis Sterility</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Grand Avenue Pharmacy 13409 (E13409)</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03-Aug-2026</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Phase I in progress (Micro ID ETX-260813-0684 ECD 24-Aug-26)</w:t>
            </w:r>
          </w:p>
        </w:tc>
      </w:tr>
      <w:tr>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ETX-260806-0456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OOS-261877</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Celsis Sterility</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Celsis Sterility Batch (Hold as of 17Aug26)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06-Aug-2026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Phase I Lab Investigation in progress</w:t>
            </w:r>
          </w:p>
        </w:tc>
      </w:tr>
      <w:tr>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ETX-260807-0243</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OOS-261878</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Celsis Sterility</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Celsis Sterility Batch (Hold as of 17Aug26)</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07-Aug-2026</w:t>
            </w:r>
          </w:p>
        </w:tc>
        <w:tc>
          <w:tcPr>
            <w:tcW w:type="dxa" w:w="168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Phase I Lab Investigation in progress</w:t>
            </w:r>
          </w:p>
        </w:tc>
      </w:tr>
      <w:tr>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ETX-260812-0342</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OOS-261932</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Celsis Sterility</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Celsis Sterility Batch Submission</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sz w:val="17"/>
              </w:rPr>
              <w:t>12-Aug-2026</w:t>
            </w:r>
          </w:p>
        </w:tc>
        <w:tc>
          <w:tcPr>
            <w:tcW w:type="dxa" w:w="168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Phase I Lab Investigation initiated</w:t>
            </w:r>
          </w:p>
        </w:tc>
      </w:tr>
    </w:tbl>
    <w:p>
      <w:pPr>
        <w:spacing w:after="80"/>
      </w:pPr>
    </w:p>
    <w:p>
      <w:pPr>
        <w:keepNext/>
        <w:spacing w:before="160" w:after="60"/>
      </w:pPr>
      <w:r>
        <w:rPr>
          <w:b/>
          <w:color w:val="1A365D"/>
          <w:sz w:val="22"/>
        </w:rPr>
        <w:t>3. Scientific Risk &amp; Barrier Analysis (State of Environmental Control)</w:t>
      </w:r>
    </w:p>
    <w:p>
      <w:pPr>
        <w:spacing w:before="0" w:after="60" w:line="276" w:lineRule="auto"/>
      </w:pPr>
      <w:r>
        <w:rPr>
          <w:color w:val="2D3748"/>
          <w:sz w:val="18"/>
        </w:rPr>
        <w:t>To evaluate whether the lack of weekly background EM data indicates a breakdown in environmental control capable of contaminating product containers during testing, a multi-barrier defense evaluation was conducted across six key operational dimensions:</w:t>
      </w:r>
    </w:p>
    <w:p>
      <w:pPr>
        <w:keepNext/>
        <w:spacing w:before="120" w:after="60"/>
      </w:pPr>
      <w:r>
        <w:rPr>
          <w:b/>
          <w:color w:val="2B6CB0"/>
          <w:sz w:val="20"/>
        </w:rPr>
        <w:t>3.1 Primary Engineering Controls (PEC / ISO 5 BSC) &amp; Session In-Process Monitoring</w:t>
      </w:r>
    </w:p>
    <w:p>
      <w:pPr>
        <w:spacing w:before="0" w:after="60" w:line="276" w:lineRule="auto"/>
      </w:pPr>
      <w:r>
        <w:rPr>
          <w:color w:val="2D3748"/>
          <w:sz w:val="18"/>
        </w:rPr>
        <w:t>• Critical Zone Isolation: All critical aseptic testing operations (container opening, membrane filtration, fluid transfers) were conducted strictly within certified ISO Class 5 Biological Safety Cabinets (BSCs) located inside Cleanroom Suite 114. Unidirectional vertical HEPA laminar airflow provided continuous physical shielding against room air.</w:t>
      </w:r>
    </w:p>
    <w:p>
      <w:pPr>
        <w:spacing w:before="0" w:after="60" w:line="276" w:lineRule="auto"/>
      </w:pPr>
      <w:r>
        <w:rPr>
          <w:color w:val="2D3748"/>
          <w:sz w:val="18"/>
        </w:rPr>
        <w:t>• In-Process Session EM Intact: Routine session-specific environmental monitoring was consistently executed for each testing session per MICRO-SOP-2 Section 8.1.3:</w:t>
      </w:r>
    </w:p>
    <w:p>
      <w:pPr>
        <w:spacing w:before="0" w:after="60" w:line="276" w:lineRule="auto"/>
        <w:ind w:left="360"/>
      </w:pPr>
      <w:r>
        <w:rPr>
          <w:color w:val="2D3748"/>
          <w:sz w:val="18"/>
        </w:rPr>
        <w:t xml:space="preserve">   - Passive Air (Settling Plates): 90 mm TSA settling plates exposed in the BSC during testing exhibited zero microbial growth (0 CFU/plate, Action Limit ≥1 CFU).</w:t>
      </w:r>
    </w:p>
    <w:p>
      <w:pPr>
        <w:spacing w:before="0" w:after="60" w:line="276" w:lineRule="auto"/>
        <w:ind w:left="360"/>
      </w:pPr>
      <w:r>
        <w:rPr>
          <w:color w:val="2D3748"/>
          <w:sz w:val="18"/>
        </w:rPr>
        <w:t xml:space="preserve">   - Surface Contact Plates (RODAC): Contact plates collected from the BSC work surface post-testing demonstrated no microbial recovery.</w:t>
      </w:r>
    </w:p>
    <w:p>
      <w:pPr>
        <w:spacing w:before="0" w:after="60" w:line="276" w:lineRule="auto"/>
        <w:ind w:left="360"/>
      </w:pPr>
      <w:r>
        <w:rPr>
          <w:color w:val="2D3748"/>
          <w:sz w:val="18"/>
        </w:rPr>
        <w:t xml:space="preserve">   - Personnel Monitoring: Left and right gloved fingertip touch plates (LH/RH) for processing analysts were within alert/action limits, confirming that operator aseptic technique remained uncompromised.</w:t>
      </w:r>
    </w:p>
    <w:p>
      <w:pPr>
        <w:keepNext/>
        <w:spacing w:before="120" w:after="60"/>
      </w:pPr>
      <w:r>
        <w:rPr>
          <w:b/>
          <w:color w:val="2B6CB0"/>
          <w:sz w:val="20"/>
        </w:rPr>
        <w:t>3.2 Continuous Automated Environmental Monitoring (Lighthouse System)</w:t>
      </w:r>
    </w:p>
    <w:p>
      <w:pPr>
        <w:spacing w:before="0" w:after="60" w:line="276" w:lineRule="auto"/>
      </w:pPr>
      <w:r>
        <w:rPr>
          <w:color w:val="2D3748"/>
          <w:sz w:val="18"/>
        </w:rPr>
        <w:t>• 24/7 Sensor Surveillance: Cleanroom Suite 114 physical parameters are electronically monitored and trended 24/7 by the calibrated Lighthouse Environmental Monitoring System per SOP 2.700.014.</w:t>
      </w:r>
    </w:p>
    <w:p>
      <w:pPr>
        <w:spacing w:before="0" w:after="60" w:line="276" w:lineRule="auto"/>
      </w:pPr>
      <w:r>
        <w:rPr>
          <w:color w:val="2D3748"/>
          <w:sz w:val="18"/>
        </w:rPr>
        <w:t>• Zero Physical Excursions: Retrospective review of continuous Lighthouse records spanning 03-Aug-2026 through 14-Aug-2026 confirmed:</w:t>
      </w:r>
    </w:p>
    <w:p>
      <w:pPr>
        <w:spacing w:before="0" w:after="60" w:line="276" w:lineRule="auto"/>
        <w:ind w:left="360"/>
      </w:pPr>
      <w:r>
        <w:rPr>
          <w:color w:val="2D3748"/>
          <w:sz w:val="18"/>
        </w:rPr>
        <w:t xml:space="preserve">   - Differential Pressure Cascades: Continuous positive pressure cascades (ISO 5 -&gt; ISO 7 Buffer Room -&gt; ISO 8 Anteroom -&gt; General Lab) were maintained without pressure reversals or cascade disruptions.</w:t>
      </w:r>
    </w:p>
    <w:p>
      <w:pPr>
        <w:spacing w:before="0" w:after="60" w:line="276" w:lineRule="auto"/>
        <w:ind w:left="360"/>
      </w:pPr>
      <w:r>
        <w:rPr>
          <w:color w:val="2D3748"/>
          <w:sz w:val="18"/>
        </w:rPr>
        <w:t xml:space="preserve">   - Temperature &amp; Humidity: Maintained strictly within validated parameters (66°F–72°F / 30%–60% RH) with no HVAC shutdowns or environmental excursions.</w:t>
      </w:r>
    </w:p>
    <w:p>
      <w:pPr>
        <w:keepNext/>
        <w:spacing w:before="120" w:after="60"/>
      </w:pPr>
      <w:r>
        <w:rPr>
          <w:b/>
          <w:color w:val="2B6CB0"/>
          <w:sz w:val="20"/>
        </w:rPr>
        <w:t>3.3 Facility Cleaning, Disinfection, and Material Transfer Regimen</w:t>
      </w:r>
    </w:p>
    <w:p>
      <w:pPr>
        <w:spacing w:before="0" w:after="60" w:line="276" w:lineRule="auto"/>
      </w:pPr>
      <w:r>
        <w:rPr>
          <w:color w:val="2D3748"/>
          <w:sz w:val="18"/>
        </w:rPr>
        <w:t>• Daily and weekly cleaning and sporicidal disinfection protocols (acidified bleach solution and sterile 70% IPA per SOP 2.600.018) were executed and documented according to schedule.</w:t>
      </w:r>
    </w:p>
    <w:p>
      <w:pPr>
        <w:spacing w:before="0" w:after="60" w:line="276" w:lineRule="auto"/>
      </w:pPr>
      <w:r>
        <w:rPr>
          <w:color w:val="2D3748"/>
          <w:sz w:val="18"/>
        </w:rPr>
        <w:t>• Staged surface disinfection with mandatory 10-minute sporicidal contact times was enforced prior to transferring test articles, media, and supplies into the ISO 7 room and ISO 5 BSC.</w:t>
      </w:r>
    </w:p>
    <w:p>
      <w:pPr>
        <w:keepNext/>
        <w:spacing w:before="120" w:after="60"/>
      </w:pPr>
      <w:r>
        <w:rPr>
          <w:b/>
          <w:color w:val="2B6CB0"/>
          <w:sz w:val="20"/>
        </w:rPr>
        <w:t>3.4 Method Controls &amp; Concurrent Batch Performance</w:t>
      </w:r>
    </w:p>
    <w:p>
      <w:pPr>
        <w:spacing w:before="0" w:after="60" w:line="276" w:lineRule="auto"/>
      </w:pPr>
      <w:r>
        <w:rPr>
          <w:color w:val="2D3748"/>
          <w:sz w:val="18"/>
        </w:rPr>
        <w:t>• Method Negative Controls: All media blanks, diluent blanks, and rinse fluid controls processed alongside the test batches demonstrated valid negative results (baseline RLU on Celsis Luminometer), verifying reagent sterility.</w:t>
      </w:r>
    </w:p>
    <w:p>
      <w:pPr>
        <w:spacing w:before="0" w:after="60" w:line="276" w:lineRule="auto"/>
      </w:pPr>
      <w:r>
        <w:rPr>
          <w:color w:val="2D3748"/>
          <w:sz w:val="18"/>
        </w:rPr>
        <w:t>• Concurrent Batches: Multiple client batches tested in Cleanroom Suite 114 during the same timeframe met all sterility acceptance criteria, confirming the absence of uncontained airborne contamination.</w:t>
      </w:r>
    </w:p>
    <w:p>
      <w:pPr>
        <w:keepNext/>
        <w:spacing w:before="120" w:after="60"/>
      </w:pPr>
      <w:r>
        <w:rPr>
          <w:b/>
          <w:color w:val="2B6CB0"/>
          <w:sz w:val="20"/>
        </w:rPr>
        <w:t>3.5 Specific Impact Evaluation &amp; Data Gap Mitigation for Correlated OOSs</w:t>
      </w:r>
    </w:p>
    <w:p>
      <w:pPr>
        <w:spacing w:before="0" w:after="60" w:line="276" w:lineRule="auto"/>
      </w:pPr>
      <w:r>
        <w:rPr>
          <w:color w:val="2D3748"/>
          <w:sz w:val="18"/>
        </w:rPr>
        <w:t>• Data Gap Mitigation: Although background weekly ISO 7/8 EM data were missing for these two weeks, each of the five (5) OOS investigations is being substantiated via Microbial Identification (Micro ID). Recovered isolates are cross-referenced against historical cleanroom flora libraries. Isolates distinct from environmental or skin commensals provide direct evidence of non-laboratory origin.</w:t>
      </w:r>
    </w:p>
    <w:p>
      <w:pPr>
        <w:spacing w:before="0" w:after="60" w:line="276" w:lineRule="auto"/>
      </w:pPr>
      <w:r>
        <w:rPr>
          <w:color w:val="2D3748"/>
          <w:sz w:val="18"/>
        </w:rPr>
        <w:t>• Mandatory OOS Citation: Each OOS Phase I investigation report will explicitly reference NCR# N26436 in its Environmental Monitoring review section, detailing the compensatory evidence (valid ISO 5 session EM, continuous Lighthouse HVAC records, negative controls, and isolate identification comparison).</w:t>
      </w:r>
    </w:p>
    <w:p>
      <w:pPr>
        <w:keepNext/>
        <w:spacing w:before="120" w:after="60"/>
      </w:pPr>
      <w:r>
        <w:rPr>
          <w:b/>
          <w:color w:val="2B6CB0"/>
          <w:sz w:val="20"/>
        </w:rPr>
        <w:t>3.6 Post-Event Reinstatement &amp; Trend Verification</w:t>
      </w:r>
    </w:p>
    <w:p>
      <w:pPr>
        <w:spacing w:before="0" w:after="60" w:line="276" w:lineRule="auto"/>
      </w:pPr>
      <w:r>
        <w:rPr>
          <w:color w:val="2D3748"/>
          <w:sz w:val="18"/>
        </w:rPr>
        <w:t>• Routine weekly surface and active air EM sampling for Cleanroom Suite 114 was immediately resumed starting 17-Aug-2026.</w:t>
      </w:r>
    </w:p>
    <w:p>
      <w:pPr>
        <w:spacing w:before="0" w:after="60" w:line="276" w:lineRule="auto"/>
      </w:pPr>
      <w:r>
        <w:rPr>
          <w:color w:val="2D3748"/>
          <w:sz w:val="18"/>
        </w:rPr>
        <w:t>• Reinstatement sampling results met all established alert and action limits (Anteroom &lt;50 CFU, Buffer Room &lt;5 CFU), confirming that no persistent bioburden accumulation or colonization occurred in Cleanroom Suite 114.</w:t>
      </w:r>
    </w:p>
    <w:p>
      <w:pPr>
        <w:keepNext/>
        <w:spacing w:before="160" w:after="60"/>
      </w:pPr>
      <w:r>
        <w:rPr>
          <w:b/>
          <w:color w:val="1A365D"/>
          <w:sz w:val="22"/>
        </w:rPr>
        <w:t>4. Impact Assessment &amp; Risk Scoring Matrix (Closure by Quality)</w:t>
      </w:r>
    </w:p>
    <w:tbl>
      <w:tblPr>
        <w:tblW w:type="auto" w:w="0"/>
        <w:jc w:val="center"/>
        <w:tblLayout w:type="fixed"/>
        <w:tblLook w:firstColumn="1" w:firstRow="1" w:lastColumn="0" w:lastRow="0" w:noHBand="0" w:noVBand="1" w:val="04A0"/>
      </w:tblPr>
      <w:tblGrid>
        <w:gridCol w:w="3360"/>
        <w:gridCol w:w="3360"/>
        <w:gridCol w:w="3360"/>
      </w:tblGrid>
      <w:tr>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Risk Parameter</w:t>
            </w:r>
          </w:p>
        </w:tc>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Assigned Score</w:t>
            </w:r>
          </w:p>
        </w:tc>
        <w:tc>
          <w:tcPr>
            <w:tcW w:type="dxa" w:w="3360"/>
            <w:shd w:fill="2B6CB0"/>
            <w:tcBorders>
              <w:top w:val="single" w:sz="4" w:space="0" w:color="2B6CB0"/>
              <w:bottom w:val="single" w:sz="4" w:space="0" w:color="2B6CB0"/>
              <w:left w:val="single" w:sz="4" w:space="0" w:color="2B6CB0"/>
              <w:right w:val="single" w:sz="4" w:space="0" w:color="2B6CB0"/>
            </w:tcBorders>
          </w:tcPr>
          <w:p>
            <w:pPr>
              <w:spacing w:before="60" w:after="60"/>
              <w:jc w:val="center"/>
            </w:pPr>
            <w:r>
              <w:rPr>
                <w:b/>
                <w:color w:val="FFFFFF"/>
                <w:sz w:val="17"/>
              </w:rPr>
              <w:t>Grading Criteria &amp; Rationale</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Frequency</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Between 2 to 10 historical occurrences (isolated supervisory finding across monitoring cycles).</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Severity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sz w:val="17"/>
              </w:rPr>
              <w:t>Changes in processes/systems with no retroactive implications; affected batches quarantined under OOS.</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Magnitude</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2</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sz w:val="17"/>
              </w:rPr>
              <w:t>&gt;2 to &lt;10 Process/Material/Equipment Affected (5 correlated sterility OOS investigations under review).</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Overall Grading Score</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8</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50" w:after="50"/>
            </w:pPr>
            <w:r>
              <w:rPr>
                <w:b/>
                <w:sz w:val="17"/>
              </w:rPr>
              <w:t>Score = Frequency (2) × Severity (2) × Magnitude (2) = 8</w:t>
            </w:r>
          </w:p>
        </w:tc>
      </w:tr>
      <w:tr>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color w:val="1A365D"/>
                <w:sz w:val="17"/>
              </w:rPr>
              <w:t>Impact Level</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jc w:val="center"/>
            </w:pPr>
            <w:r>
              <w:rPr>
                <w:b/>
                <w:sz w:val="17"/>
              </w:rPr>
              <w:t>MAJOR</w:t>
            </w:r>
          </w:p>
        </w:tc>
        <w:tc>
          <w:tcPr>
            <w:tcW w:type="dxa" w:w="3360"/>
            <w:shd w:fill="FFFFFF"/>
            <w:tcBorders>
              <w:top w:val="single" w:sz="4" w:space="0" w:color="CBD5E0"/>
              <w:bottom w:val="single" w:sz="4" w:space="0" w:color="CBD5E0"/>
              <w:left w:val="single" w:sz="4" w:space="0" w:color="CBD5E0"/>
              <w:right w:val="single" w:sz="4" w:space="0" w:color="CBD5E0"/>
            </w:tcBorders>
          </w:tcPr>
          <w:p>
            <w:pPr>
              <w:spacing w:before="50" w:after="50"/>
            </w:pPr>
            <w:r>
              <w:rPr>
                <w:b/>
                <w:sz w:val="17"/>
              </w:rPr>
              <w:t>Major Impact Category (Score Range 3 to 17) — appropriately categorized.</w:t>
            </w:r>
          </w:p>
        </w:tc>
      </w:tr>
    </w:tbl>
    <w:p>
      <w:pPr>
        <w:spacing w:after="80"/>
      </w:pPr>
    </w:p>
    <w:p>
      <w:pPr>
        <w:keepNext/>
        <w:spacing w:before="160" w:after="60"/>
      </w:pPr>
      <w:r>
        <w:rPr>
          <w:b/>
          <w:color w:val="1A365D"/>
          <w:sz w:val="22"/>
        </w:rPr>
        <w:t>5. Corrective &amp; Preventive Action (CAPA) Summary</w:t>
      </w:r>
    </w:p>
    <w:p>
      <w:pPr>
        <w:spacing w:before="0" w:after="60" w:line="276" w:lineRule="auto"/>
      </w:pPr>
      <w:r>
        <w:rPr>
          <w:color w:val="2D3748"/>
          <w:sz w:val="18"/>
        </w:rPr>
        <w:t>1. Immediate Containment &amp; Reinstatement: Routine weekly surface and active air EM for Suite 114 was fully reinstated with passing results.</w:t>
      </w:r>
    </w:p>
    <w:p>
      <w:pPr>
        <w:spacing w:before="0" w:after="60" w:line="276" w:lineRule="auto"/>
      </w:pPr>
      <w:r>
        <w:rPr>
          <w:color w:val="2D3748"/>
          <w:sz w:val="18"/>
        </w:rPr>
        <w:t>2. Tracking Sheet Implementation: Microbiology Supervisor Robin Seymour instituted a mandatory Weekly EM Sampling Tracking Sheet (EM Monitoring of Cleanrooms Rotation Schedule.xlsx) requiring weekly reconciliation and supervisory verification.</w:t>
      </w:r>
    </w:p>
    <w:p>
      <w:pPr>
        <w:spacing w:before="0" w:after="60" w:line="276" w:lineRule="auto"/>
      </w:pPr>
      <w:r>
        <w:rPr>
          <w:color w:val="2D3748"/>
          <w:sz w:val="18"/>
        </w:rPr>
        <w:t>3. Personnel Retraining: Analyst SMO completed documented Read and Understood retraining on MICRO-SOP-2 Section 8.2.</w:t>
      </w:r>
    </w:p>
    <w:p>
      <w:pPr>
        <w:spacing w:before="0" w:after="60" w:line="276" w:lineRule="auto"/>
      </w:pPr>
      <w:r>
        <w:rPr>
          <w:color w:val="2D3748"/>
          <w:sz w:val="18"/>
        </w:rPr>
        <w:t>4. CAR Requirement: Based on effective root cause remediation and intact environmental barriers, a formal Corrective Action Response (CAR) is NOT required.</w:t>
      </w:r>
    </w:p>
    <w:p>
      <w:pPr>
        <w:keepNext/>
        <w:spacing w:before="160" w:after="60"/>
      </w:pPr>
      <w:r>
        <w:rPr>
          <w:b/>
          <w:color w:val="1A365D"/>
          <w:sz w:val="22"/>
        </w:rPr>
        <w:t>6. Quality Unit Conclusion &amp; Final Disposition</w:t>
      </w:r>
    </w:p>
    <w:p>
      <w:pPr>
        <w:spacing w:before="0" w:after="60" w:line="276" w:lineRule="auto"/>
      </w:pPr>
      <w:r>
        <w:rPr>
          <w:color w:val="2D3748"/>
          <w:sz w:val="18"/>
        </w:rPr>
        <w:t>Based on the totality of evidence—including uninterrupted 24/7 Lighthouse physical parameter stability, satisfactory session-specific ISO 5 BSC settling and contact plate monitoring, acceptable analyst glove touch plates, valid method negative controls, and clean post-reinstatement EM results—the microbiological integrity and physical containment of Cleanroom Suite 114 remained in a validated state of control during 03-Aug-2026 through 14-Aug-2026. The missed weekly sampling represents an isolated documentation and scheduling oversight without evidence of environmental breakdown. The five (5) correlated sterility OOS investigations remain valid, and each report shall cross-reference NCR# N26436 and incorporate this risk evaluation to support Phase I closure.</w:t>
      </w:r>
    </w:p>
    <w:p>
      <w:pPr>
        <w:spacing w:after="120"/>
      </w:pPr>
    </w:p>
    <w:tbl>
      <w:tblPr>
        <w:tblW w:type="auto" w:w="0"/>
        <w:jc w:val="center"/>
        <w:tblLayout w:type="fixed"/>
        <w:tblLook w:firstColumn="1" w:firstRow="1" w:lastColumn="0" w:lastRow="0" w:noHBand="0" w:noVBand="1" w:val="04A0"/>
      </w:tblPr>
      <w:tblGrid>
        <w:gridCol w:w="3360"/>
        <w:gridCol w:w="3360"/>
        <w:gridCol w:w="3360"/>
      </w:tblGrid>
      <w:tr>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Evaluated / Prepared By: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Reviewed By:</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b/>
                <w:color w:val="1A365D"/>
                <w:sz w:val="17"/>
              </w:rPr>
              <w:t>Quality Assurance Approval:</w:t>
            </w:r>
          </w:p>
        </w:tc>
      </w:tr>
      <w:tr>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Qiyue Chen, Ph.D.</w:t>
              <w:br/>
              <w:t>Project Microbiologist</w:t>
              <w:br/>
              <w:t>Date: 26-Aug-2026</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Robin Seymour</w:t>
              <w:br/>
              <w:t>Microbiology Laboratory Supervisor</w:t>
              <w:br/>
              <w:t>Date: ____________</w:t>
            </w:r>
          </w:p>
        </w:tc>
        <w:tc>
          <w:tcPr>
            <w:tcW w:type="dxa" w:w="3360"/>
            <w:shd w:fill="F7FAFC"/>
            <w:tcBorders>
              <w:top w:val="single" w:sz="4" w:space="0" w:color="CBD5E0"/>
              <w:bottom w:val="single" w:sz="4" w:space="0" w:color="CBD5E0"/>
              <w:left w:val="single" w:sz="4" w:space="0" w:color="CBD5E0"/>
              <w:right w:val="single" w:sz="4" w:space="0" w:color="CBD5E0"/>
            </w:tcBorders>
          </w:tcPr>
          <w:p>
            <w:pPr>
              <w:spacing w:before="60" w:after="60"/>
            </w:pPr>
            <w:r>
              <w:rPr>
                <w:sz w:val="17"/>
              </w:rPr>
              <w:t>Quality Unit Designee</w:t>
              <w:br/>
              <w:t>Quality Assurance</w:t>
              <w:br/>
              <w:t>Date: ____________</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