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sz w:val="17"/>
          <w:u w:val="single"/>
        </w:rPr>
        <w:t>Table 1: Information for ETX-260624-0251 (BUD-T90) under investigation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Processing Analyst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Reading Analyst</w:t>
            </w:r>
          </w:p>
        </w:tc>
        <w:tc>
          <w:tcPr>
            <w:tcW w:type="dxa" w:w="180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Sample ID</w:t>
            </w:r>
          </w:p>
        </w:tc>
        <w:tc>
          <w:tcPr>
            <w:tcW w:type="dxa" w:w="158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Related Microbial ID</w:t>
            </w:r>
          </w:p>
        </w:tc>
        <w:tc>
          <w:tcPr>
            <w:tcW w:type="dxa" w:w="1656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Media with microbial growth</w:t>
            </w:r>
          </w:p>
        </w:tc>
        <w:tc>
          <w:tcPr>
            <w:tcW w:type="dxa" w:w="230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Microbial ID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Guanchen Li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Andrew Carrillo</w:t>
            </w:r>
          </w:p>
        </w:tc>
        <w:tc>
          <w:tcPr>
            <w:tcW w:type="dxa" w:w="180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hyperlink r:id="rId9">
              <w:r>
                <w:rPr>
                  <w:rFonts w:ascii="Times New Roman" w:hAnsi="Times New Roman"/>
                  <w:sz w:val="14"/>
                  <w:szCs w:val="14"/>
                  <w:color w:val="0000FF"/>
                  <w:u w:val="single"/>
                </w:rPr>
                <w:t>ETX-260624-0251 (BUD-T90)</w:t>
              </w:r>
            </w:hyperlink>
          </w:p>
        </w:tc>
        <w:tc>
          <w:tcPr>
            <w:tcW w:type="dxa" w:w="158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hyperlink r:id="rId10">
              <w:r>
                <w:rPr>
                  <w:rFonts w:ascii="Times New Roman" w:hAnsi="Times New Roman"/>
                  <w:sz w:val="14"/>
                  <w:szCs w:val="14"/>
                  <w:color w:val="0000FF"/>
                  <w:u w:val="single"/>
                </w:rPr>
                <w:t>ETX-261012-0367</w:t>
              </w:r>
            </w:hyperlink>
          </w:p>
        </w:tc>
        <w:tc>
          <w:tcPr>
            <w:tcW w:type="dxa" w:w="1656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TSB</w:t>
            </w:r>
          </w:p>
        </w:tc>
        <w:tc>
          <w:tcPr>
            <w:tcW w:type="dxa" w:w="230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14"/>
              </w:rPr>
              <w:t>Bacillus megaterium</w:t>
            </w:r>
          </w:p>
        </w:tc>
      </w:tr>
    </w:tbl>
    <w:p>
      <w:pPr>
        <w:spacing w:before="80" w:after="0"/>
      </w:pPr>
    </w:p>
    <w:p>
      <w:pPr>
        <w:spacing w:before="0" w:after="40"/>
      </w:pPr>
      <w:r>
        <w:rPr>
          <w:rFonts w:ascii="Times New Roman" w:hAnsi="Times New Roman"/>
          <w:sz w:val="17"/>
          <w:u w:val="single"/>
        </w:rPr>
        <w:t>Table 2: Environmental Monitoring from Processing Performed on 23Sep26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Environmental</w:t>
              <w:br/>
              <w:t>Monitoring (EM)</w:t>
              <w:br/>
              <w:t>Sampling Site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Frequency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</w:t>
              <w:br/>
              <w:t>(DDMMMYY)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Analyst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Day /Week(s)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Observation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EM Plate ETX Number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Microbial ID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Notes</w:t>
            </w:r>
          </w:p>
        </w:tc>
      </w:tr>
      <w:tr>
        <w:tc>
          <w:tcPr>
            <w:tcW w:type="dxa" w:w="864"/>
            <w:gridSpan w:val="9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8E8E8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4"/>
              </w:rPr>
              <w:t>Personnel EM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Personnel (Left Touch and Right Touch)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22Sep26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GL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Before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Personnel (Left Touch and Right Touch)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23Sep26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GL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of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Personnel (Left Touch and Right Touch)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24Sep26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GL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After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864"/>
            <w:gridSpan w:val="9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8E8E8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4"/>
              </w:rPr>
              <w:t>Biological Safety Cabinet EM for E001314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(4 locations)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22Sep26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AOD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Before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(4 locations)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23Sep26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GL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of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(4 locations)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24Sep26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AOD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After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(2 locations)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22Sep26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AOD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Before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(2 locations)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23Sep26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GL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of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(2 locations)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24Sep26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AOD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Date After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864"/>
            <w:gridSpan w:val="9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8E8E8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4"/>
              </w:rPr>
              <w:t>Weekly Active Air Sampling of Cleanroom Suite 115 (E001737) with Processing BSC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Active Air Sampling of Cleanrooms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Weekly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23Sep26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SMO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Week of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6 CFUs (ISO 8 115)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hyperlink r:id="rId11">
              <w:r>
                <w:rPr>
                  <w:rFonts w:ascii="Times New Roman" w:hAnsi="Times New Roman"/>
                  <w:sz w:val="14"/>
                  <w:szCs w:val="14"/>
                  <w:color w:val="0000FF"/>
                  <w:u w:val="single"/>
                </w:rPr>
                <w:t>ETX-261001-0625</w:t>
              </w:r>
            </w:hyperlink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Micrococcus luteus</w:t>
            </w:r>
            <w:r>
              <w:rPr>
                <w:rFonts w:ascii="Times New Roman" w:hAnsi="Times New Roman"/>
                <w:sz w:val="14"/>
              </w:rPr>
              <w:br/>
              <w:br/>
            </w:r>
            <w:r>
              <w:rPr>
                <w:rFonts w:ascii="Times New Roman" w:hAnsi="Times New Roman"/>
                <w:i/>
                <w:sz w:val="14"/>
              </w:rPr>
              <w:t>Kocuria indica</w:t>
            </w:r>
            <w:r>
              <w:rPr>
                <w:rFonts w:ascii="Times New Roman" w:hAnsi="Times New Roman"/>
                <w:sz w:val="14"/>
              </w:rPr>
              <w:br/>
              <w:br/>
            </w:r>
            <w:r>
              <w:rPr>
                <w:rFonts w:ascii="Times New Roman" w:hAnsi="Times New Roman"/>
                <w:i/>
                <w:sz w:val="14"/>
              </w:rPr>
              <w:t>Kocuria rhizophila</w:t>
            </w:r>
            <w:r>
              <w:rPr>
                <w:rFonts w:ascii="Times New Roman" w:hAnsi="Times New Roman"/>
                <w:sz w:val="14"/>
              </w:rPr>
              <w:br/>
              <w:br/>
            </w:r>
            <w:r>
              <w:rPr>
                <w:rFonts w:ascii="Times New Roman" w:hAnsi="Times New Roman"/>
                <w:i w:val="0"/>
                <w:sz w:val="14"/>
              </w:rPr>
              <w:t>Pending FunITS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c>
          <w:tcPr>
            <w:tcW w:type="dxa" w:w="864"/>
            <w:gridSpan w:val="9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  <w:shd w:fill="E8E8E8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4"/>
              </w:rPr>
              <w:t>Weekly Surface Sampling of Cleanroom Suite 115 (E001737) with Processing BSC</w:t>
            </w:r>
          </w:p>
        </w:tc>
      </w:tr>
      <w:tr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Cleanrooms</w:t>
            </w:r>
          </w:p>
        </w:tc>
        <w:tc>
          <w:tcPr>
            <w:tcW w:type="dxa" w:w="792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Weekly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23Sep26</w:t>
            </w:r>
          </w:p>
        </w:tc>
        <w:tc>
          <w:tcPr>
            <w:tcW w:type="dxa" w:w="720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SMO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Week of Testing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36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4"/>
              </w:rPr>
              <w:t>Not Applicable</w:t>
            </w:r>
          </w:p>
        </w:tc>
        <w:tc>
          <w:tcPr>
            <w:tcW w:type="dxa" w:w="1728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864"/>
            <w:vAlign w:val="center"/>
            <w:tcMar>
              <w:top w:w="25" w:type="dxa"/>
              <w:bottom w:w="2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trax.eagleanalytical.com/Submission/Details/nIsCJb3y7xy7m1FK8luTrg__" TargetMode="External"/><Relationship Id="rId10" Type="http://schemas.openxmlformats.org/officeDocument/2006/relationships/hyperlink" Target="https://etrax.eagleanalytical.com/Submission/Details/e6Jo3DyLpUEd3QnYm5Uttw__" TargetMode="External"/><Relationship Id="rId11" Type="http://schemas.openxmlformats.org/officeDocument/2006/relationships/hyperlink" Target="https://etrax.eagleanalytical.com/Submission/Details/yp3RLi-9BGnGhzxnYnqk4Q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