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>
            <w:r>
              <w:t>{{ date_initiated }}</w:t>
            </w: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>
            <w:r>
              <w:t>{{ date_of_incident }}</w:t>
            </w: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>
            <w:r>
              <w:t>Environmental Monitoring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2.600.002 (10)</w:t>
              <w:br/>
              <w:t>2.700.004 (03)</w:t>
              <w:br/>
            </w: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>
            <w:r>
              <w:t>Date:</w:t>
              <w:br/>
              <w:t>{{ date_initiated }}</w:t>
              <w:br/>
            </w: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>
            <w:r>
              <w:t>{{ reagent_lot }}</w:t>
            </w:r>
          </w:p>
        </w:tc>
        <w:tc>
          <w:tcPr>
            <w:tcW w:w="1800" w:type="dxa"/>
          </w:tcPr>
          <w:p>
            <w:r>
              <w:t>{{ reagent_exp }}</w:t>
            </w: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Please see below</w:t>
            </w:r>
          </w:p>
        </w:tc>
        <w:tc>
          <w:tcPr>
            <w:tcW w:w="1800" w:type="dxa"/>
            <w:shd w:val="clear" w:color="auto" w:fill="FFFFFF" w:themeFill="background1"/>
          </w:tcPr>
          <w:p>
            <w:r>
              <w:t>Please see below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cr_display }}</w:t>
            </w:r>
          </w:p>
        </w:tc>
        <w:tc>
          <w:tcPr>
            <w:tcW w:w="1800" w:type="dxa"/>
            <w:shd w:val="clear" w:color="auto" w:fill="FFFFFF" w:themeFill="background1"/>
          </w:tcPr>
          <w:p>
            <w:r>
              <w:t>{{ cr_exp }}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N/A</w:t>
            </w:r>
          </w:p>
        </w:tc>
        <w:tc>
          <w:tcPr>
            <w:tcW w:w="1800" w:type="dxa"/>
            <w:shd w:val="clear" w:color="auto" w:fill="FFFFFF" w:themeFill="background1"/>
          </w:tcPr>
          <w:p>
            <w:r>
              <w:t>N/A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p>
      <w:r>
        <w:rPr>
          <w:rFonts w:ascii="Arial" w:hAnsi="Arial"/>
          <w:b/>
          <w:sz w:val="19"/>
        </w:rPr>
        <w:t>Table 1: Read Dates &amp; Incubation Observation</w:t>
      </w:r>
    </w:p>
    <w:p/>
    <w:p>
      <w:r>
        <w:rPr>
          <w:rFonts w:ascii="Arial" w:hAnsi="Arial"/>
          <w:b/>
          <w:sz w:val="19"/>
        </w:rPr>
        <w:t>Table 2: Environmental Monitoring for Analyst &amp; Cleanroom</w:t>
      </w: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ETX Submission ID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Set-up Analyst &amp; Date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Sampling Site &amp; Location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(≥ 48H)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48 Hour Incubation at 30–35°C (E001031)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(NLT 5 days)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NLT 5-day Incubation at 20–25°C (E001034)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Identification</w:t>
            </w:r>
          </w:p>
        </w:tc>
      </w:tr>
      <w:tr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etx_id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setup_analyst_initial }} {{ test_date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sampling_location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microbial_id }}</w:t>
            </w:r>
          </w:p>
        </w:tc>
      </w:tr>
    </w:tbl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(EM) Sampling Site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Frequency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 (DDMMMYYYY)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Analyst (Initials)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Day /Week(s)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Plate ETX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Notes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Personnel EM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Biological Safety Cabinet EM Bracketing Biological Safety Cabinet (BSC)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Weekly Active Air Sampling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Active Air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date_of_weekly_air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weekly_air_analyst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Surface Sampling of Anteroom and Cleanroom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date_of_weekly_surf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weekly_surf_analyst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