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31Aug26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07Sep26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07Sep26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ETX-260806-0702 (BUD-T30)</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Hillstone Pharmacy (E17047)</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Andrew Carrillo</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AC)</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Andrew Carrillo</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AC)</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TB-500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24JUL2026-059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07Sep26, sample ETX-260806-0702 (BUD-T30)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07Sep26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Andrew Carrillo,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Andrew Carrillo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ETX-260806-0702 (BUD-T30)</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ETX-260806-0702 (BUD-T30)</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ETX-260806-0702 (BUD-T30)</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1314</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E001737 (CR115)</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 xml:space="preserve">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(Alex Saravia) and the reading analyst who confirmed the positive result (Andrew Carrillo),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Upon arrival, the sample was stored in accordance with the Client’s instructions. Analyst Andrew Carrillo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cleanroom used for processing procedures (Suite 115) comprises three interconnected sections: the innermost ISO 7 cleanroom (115B), which connects to the middle ISO 7 buffer room (115A), and then to the outermost ISO 8 anteroom (115). A positive air pressure system is maintained throughout the suite to ensure controlled, unidirectional airflow from 115B through 115A and into 115.</w:t>
              <w:br/>
              <w:t xml:space="preserve"/>
              <w:br/>
              <w:t xml:space="preserve">The ISO 5 BSC E001314, located in the innermost ISO 7 room (115B), was used for sample processing steps. It was thoroughly cleaned and disinfected prior to each procedure in accordance with SOP 2.600.018 (Cleaning and Disinfecting Procedure for Microbiology). Additionally, BSC E001314 was certified and approved by both the Engineering and Quality Assurance teams. Sample processing was conducted in the ISO 5 BSC E001314 in 115B by Alex Saravia on 31Aug26 as per SOP 2.600.008 (USP 71&gt; / EP 2.6.1 Sterility Test).</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28Aug26, the sample vials for ETX-260806-0702 (BUD-T30)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115)), where the vials were again treated with acidified bleach and provided a 10‑minute contact time before processing. Subsequently, the vials were moved into the ISO 7 cleanroom Suite 115(B). Inside this cleanroom, the processing analyst, Alex Saravia, performed a final disinfection step, allowing an additional 10-minute contact time. Once fully disinfected, the vials were transferred into the ISO 5 BSC E001314.</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E001314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 07Sep26 (Day 14 of incubation), microbial growth was observed in 1 x 100 mL TSB media bottle by analyst Andrew Carrillo and confirmed by Microbiology Lab Supervisor Robin Seymour. The organism was identified as Paenibacillus lautus Gram (+) rods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 review of the Environmental Monitoring (EM) results for the relevant testing period showed no microbial growth on daily personnel monitoring plates (left and right glove touches), daily settling plates, or ISO 5 BSC E001314 surface sampling plates across all bracketing dates (28Aug26, 31Aug26, and 01Sep26). Weekly cleanroom surface sampling for Cleanroom 115 (E001737), performed on 04Sep26, likewise demonstrated no microbial growth. Weekly active air sampling on 04Sep26 showed 1 CFU (ETX-260914-0487, pending identification) in the ISO 8 anteroom (114). However, all sample processing activities were performed within the validated ISO 5 BSC E001314 located in innermost ISO 7 cleanroom 115B. The sample containers were transferred inside closed, disinfected bins, and did not come into contact with ambient ISO 8 air. Furthermore, the complete absence of microbial recovery across all daily analyst glove touch plates, critical ISO 5 BSC work surfaces, and settling plates confirms that no contamination transfer pathway existed between the lower-classified anteroom environment and the ISO 5 processing zone.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71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115 was performed on 30Aug26,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115.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Analyzing a 6-month sample history for Hillstone Pharmacy (E17047), this specific analyte "TB-500 10mg/ml" has had no prior failures using USP 71&gt; / EP 2.6.1 Sterility Test during this period. Furthermore, the previous T0 time point for this stability lot (24JUL2026-059) yielded valid passing sterility results.</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To assess the potential for sample-to-sample contamination contributing to the positive results, a comprehensive review was conducted of all samples processed on the same day. To assess the potential for sample-to-sample contamination contributing to the positive results, a comprehensive review was conducted of all samples processed on the same day (31Aug26). Sample ETX-260806-0702 was the 4th sample processed in the batch. All other samples processed by the analyst in the batch on that day tested negative. These findings confirm that cross-contamination between samples is highly unlikely.</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ETX-260806-0702 (BUD-T30) under investigation</w:t>
      </w:r>
    </w:p>
    <w:tbl>
      <w:tblPr>
        <w:tblStyle w:val="TableGrid"/>
        <w:tblW w:type="auto" w:w="0"/>
        <w:tblLayout w:type="fixed"/>
        <w:tblLook w:firstColumn="1" w:firstRow="1" w:lastColumn="0" w:lastRow="0" w:noHBand="0" w:noVBand="1" w:val="04A0"/>
      </w:tblPr>
      <w:tblGrid>
        <w:gridCol w:w="1824"/>
        <w:gridCol w:w="1824"/>
        <w:gridCol w:w="1824"/>
        <w:gridCol w:w="1824"/>
        <w:gridCol w:w="1824"/>
        <w:gridCol w:w="1824"/>
      </w:tblGrid>
      <w:tr>
        <w:trPr>
          <w:trHeight w:val="220" w:hRule="atLeast"/>
        </w:trPr>
        <w:tc>
          <w:tcPr>
            <w:tcW w:type="dxa" w:w="1824"/>
            <w:vAlign w:val="center"/>
          </w:tcPr>
          <w:p>
            <w:pPr>
              <w:spacing w:before="0" w:after="0" w:line="240" w:lineRule="auto"/>
              <w:jc w:val="center"/>
            </w:pPr>
            <w:r/>
            <w:r>
              <w:rPr>
                <w:rFonts w:ascii="Times New Roman" w:hAnsi="Times New Roman"/>
                <w:b/>
                <w:i w:val="0"/>
                <w:sz w:val="15"/>
              </w:rPr>
              <w:t>Reading Analyst</w:t>
            </w:r>
          </w:p>
        </w:tc>
        <w:tc>
          <w:tcPr>
            <w:tcW w:type="dxa" w:w="1824"/>
            <w:vAlign w:val="center"/>
          </w:tcPr>
          <w:p>
            <w:pPr>
              <w:spacing w:before="0" w:after="0" w:line="240" w:lineRule="auto"/>
              <w:jc w:val="center"/>
            </w:pPr>
            <w:r/>
            <w:r>
              <w:rPr>
                <w:rFonts w:ascii="Times New Roman" w:hAnsi="Times New Roman"/>
                <w:b/>
                <w:i w:val="0"/>
                <w:sz w:val="15"/>
              </w:rPr>
              <w:t>Day of Incubation</w:t>
            </w:r>
          </w:p>
        </w:tc>
        <w:tc>
          <w:tcPr>
            <w:tcW w:type="dxa" w:w="1824"/>
            <w:vAlign w:val="center"/>
          </w:tcPr>
          <w:p>
            <w:pPr>
              <w:spacing w:before="0" w:after="0" w:line="240" w:lineRule="auto"/>
              <w:jc w:val="center"/>
            </w:pPr>
            <w:r/>
            <w:r>
              <w:rPr>
                <w:rFonts w:ascii="Times New Roman" w:hAnsi="Times New Roman"/>
                <w:b/>
                <w:i w:val="0"/>
                <w:sz w:val="15"/>
              </w:rPr>
              <w:t>Sample ID</w:t>
            </w:r>
          </w:p>
        </w:tc>
        <w:tc>
          <w:tcPr>
            <w:tcW w:type="dxa" w:w="1824"/>
            <w:vAlign w:val="center"/>
          </w:tcPr>
          <w:p>
            <w:pPr>
              <w:spacing w:before="0" w:after="0" w:line="240" w:lineRule="auto"/>
              <w:jc w:val="center"/>
            </w:pPr>
            <w:r/>
            <w:r>
              <w:rPr>
                <w:rFonts w:ascii="Times New Roman" w:hAnsi="Times New Roman"/>
                <w:b/>
                <w:i w:val="0"/>
                <w:sz w:val="15"/>
              </w:rPr>
              <w:t>Related Microbial ID</w:t>
            </w:r>
          </w:p>
        </w:tc>
        <w:tc>
          <w:tcPr>
            <w:tcW w:type="dxa" w:w="1824"/>
            <w:vAlign w:val="center"/>
          </w:tcPr>
          <w:p>
            <w:pPr>
              <w:spacing w:before="0" w:after="0" w:line="240" w:lineRule="auto"/>
              <w:jc w:val="center"/>
            </w:pPr>
            <w:r/>
            <w:r>
              <w:rPr>
                <w:rFonts w:ascii="Times New Roman" w:hAnsi="Times New Roman"/>
                <w:b/>
                <w:i w:val="0"/>
                <w:sz w:val="15"/>
              </w:rPr>
              <w:t>Media with microbial growth</w:t>
            </w:r>
          </w:p>
        </w:tc>
        <w:tc>
          <w:tcPr>
            <w:tcW w:type="dxa" w:w="1824"/>
            <w:vAlign w:val="center"/>
          </w:tcPr>
          <w:p>
            <w:pPr>
              <w:spacing w:before="0" w:after="0" w:line="240" w:lineRule="auto"/>
              <w:jc w:val="center"/>
            </w:pPr>
            <w:r/>
            <w:r>
              <w:rPr>
                <w:rFonts w:ascii="Times New Roman" w:hAnsi="Times New Roman"/>
                <w:b/>
                <w:i w:val="0"/>
                <w:sz w:val="15"/>
              </w:rPr>
              <w:t>Microbial Identification</w:t>
            </w:r>
          </w:p>
        </w:tc>
      </w:tr>
      <w:tr>
        <w:trPr>
          <w:trHeight w:val="220" w:hRule="atLeast"/>
        </w:trPr>
        <w:tc>
          <w:tcPr>
            <w:tcW w:type="dxa" w:w="1824"/>
            <w:vAlign w:val="center"/>
          </w:tcPr>
          <w:p>
            <w:pPr>
              <w:spacing w:before="0" w:after="0" w:line="240" w:lineRule="auto"/>
              <w:jc w:val="center"/>
            </w:pPr>
            <w:r/>
            <w:r>
              <w:rPr>
                <w:rFonts w:ascii="Times New Roman" w:hAnsi="Times New Roman"/>
                <w:b w:val="0"/>
                <w:i w:val="0"/>
                <w:sz w:val="15"/>
              </w:rPr>
              <w:t>Andrew Carrillo</w:t>
            </w:r>
          </w:p>
        </w:tc>
        <w:tc>
          <w:tcPr>
            <w:tcW w:type="dxa" w:w="1824"/>
            <w:vAlign w:val="center"/>
          </w:tcPr>
          <w:p>
            <w:pPr>
              <w:spacing w:before="0" w:after="0" w:line="240" w:lineRule="auto"/>
              <w:jc w:val="center"/>
            </w:pPr>
            <w:r/>
            <w:r>
              <w:rPr>
                <w:rFonts w:ascii="Times New Roman" w:hAnsi="Times New Roman"/>
                <w:b w:val="0"/>
                <w:i w:val="0"/>
                <w:sz w:val="15"/>
              </w:rPr>
              <w:t>7</w:t>
            </w:r>
          </w:p>
        </w:tc>
        <w:tc>
          <w:tcPr>
            <w:tcW w:type="dxa" w:w="1824"/>
            <w:vAlign w:val="center"/>
          </w:tcPr>
          <w:p>
            <w:pPr>
              <w:spacing w:before="0" w:after="0" w:line="240" w:lineRule="auto"/>
              <w:jc w:val="center"/>
            </w:pPr>
            <w:r/>
            <w:hyperlink r:id="rId9" w:history="1">
              <w:r>
                <w:rPr>
                  <w:rStyle w:val="Hyperlink"/>
                  <w:rFonts w:ascii="Times New Roman" w:hAnsi="Times New Roman"/>
                  <w:color w:val="467886"/>
                  <w:sz w:val="15"/>
                  <w:szCs w:val="15"/>
                  <w:u w:val="single"/>
                </w:rPr>
                <w:t>ETX-260806-0702 (BUD-T30)</w:t>
              </w:r>
            </w:hyperlink>
          </w:p>
        </w:tc>
        <w:tc>
          <w:tcPr>
            <w:tcW w:type="dxa" w:w="1824"/>
            <w:vAlign w:val="center"/>
          </w:tcPr>
          <w:p>
            <w:pPr>
              <w:spacing w:before="0" w:after="0" w:line="240" w:lineRule="auto"/>
              <w:jc w:val="center"/>
            </w:pPr>
            <w:r/>
            <w:hyperlink r:id="rId10" w:history="1">
              <w:r>
                <w:rPr>
                  <w:rStyle w:val="Hyperlink"/>
                  <w:rFonts w:ascii="Times New Roman" w:hAnsi="Times New Roman"/>
                  <w:color w:val="467886"/>
                  <w:sz w:val="15"/>
                  <w:szCs w:val="15"/>
                  <w:u w:val="single"/>
                </w:rPr>
                <w:t>ETX-260907-0017</w:t>
              </w:r>
            </w:hyperlink>
          </w:p>
        </w:tc>
        <w:tc>
          <w:tcPr>
            <w:tcW w:type="dxa" w:w="1824"/>
            <w:vAlign w:val="center"/>
          </w:tcPr>
          <w:p>
            <w:pPr>
              <w:spacing w:before="0" w:after="0" w:line="240" w:lineRule="auto"/>
              <w:jc w:val="center"/>
            </w:pPr>
            <w:r/>
            <w:r>
              <w:rPr>
                <w:rFonts w:ascii="Times New Roman" w:hAnsi="Times New Roman"/>
                <w:b w:val="0"/>
                <w:i w:val="0"/>
                <w:sz w:val="15"/>
              </w:rPr>
              <w:t>1 x 100 mL TSB</w:t>
            </w:r>
          </w:p>
        </w:tc>
        <w:tc>
          <w:tcPr>
            <w:tcW w:type="dxa" w:w="1824"/>
            <w:vAlign w:val="center"/>
          </w:tcPr>
          <w:p>
            <w:pPr>
              <w:spacing w:before="0" w:after="0" w:line="240" w:lineRule="auto"/>
              <w:jc w:val="center"/>
            </w:pPr>
            <w:r/>
            <w:r>
              <w:rPr>
                <w:rFonts w:ascii="Times New Roman" w:hAnsi="Times New Roman"/>
                <w:b w:val="0"/>
                <w:i w:val="0"/>
                <w:sz w:val="15"/>
              </w:rPr>
              <w:t>Paenibacillus lautus</w:t>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for Analyst &amp; Cleanroom</w:t>
      </w:r>
    </w:p>
    <w:p w14:paraId="211F199F" w14:textId="77777777" w:rsidR="009012F5" w:rsidRDefault="009012F5" w:rsidP="009012F5">
      <w:pPr>
        <w:rPr>
          <w:rFonts w:ascii="Times New Roman" w:hAnsi="Times New Roman"/>
          <w:sz w:val="14"/>
          <w:szCs w:val="14"/>
        </w:rPr>
      </w:pPr>
    </w:p>
    <w:tbl>
      <w:tblPr>
        <w:tblStyle w:val="TableGrid"/>
        <w:tblW w:type="auto" w:w="0"/>
        <w:tblLayout w:type="fixed"/>
        <w:tblLook w:firstColumn="1" w:firstRow="1" w:lastColumn="0" w:lastRow="0" w:noHBand="0" w:noVBand="1" w:val="04A0"/>
      </w:tblPr>
      <w:tblGrid>
        <w:gridCol w:w="1216"/>
        <w:gridCol w:w="1216"/>
        <w:gridCol w:w="1216"/>
        <w:gridCol w:w="1216"/>
        <w:gridCol w:w="1216"/>
        <w:gridCol w:w="1216"/>
        <w:gridCol w:w="1216"/>
        <w:gridCol w:w="1216"/>
        <w:gridCol w:w="1216"/>
      </w:tblGrid>
      <w:tr>
        <w:trPr>
          <w:trHeight w:val="220" w:hRule="atLeast"/>
        </w:trPr>
        <w:tc>
          <w:tcPr>
            <w:tcW w:type="dxa" w:w="1216"/>
            <w:vAlign w:val="center"/>
          </w:tcPr>
          <w:p>
            <w:pPr>
              <w:spacing w:before="0" w:after="0" w:line="240" w:lineRule="auto"/>
              <w:jc w:val="center"/>
            </w:pPr>
            <w:r/>
            <w:r>
              <w:rPr>
                <w:rFonts w:ascii="Times New Roman" w:hAnsi="Times New Roman"/>
                <w:b/>
                <w:i w:val="0"/>
                <w:sz w:val="14"/>
              </w:rPr>
              <w:t>Environmental Monitoring (EM) Sampling Site</w:t>
            </w:r>
          </w:p>
        </w:tc>
        <w:tc>
          <w:tcPr>
            <w:tcW w:type="dxa" w:w="1216"/>
            <w:vAlign w:val="center"/>
          </w:tcPr>
          <w:p>
            <w:pPr>
              <w:spacing w:before="0" w:after="0" w:line="240" w:lineRule="auto"/>
              <w:jc w:val="center"/>
            </w:pPr>
            <w:r/>
            <w:r>
              <w:rPr>
                <w:rFonts w:ascii="Times New Roman" w:hAnsi="Times New Roman"/>
                <w:b/>
                <w:i w:val="0"/>
                <w:sz w:val="14"/>
              </w:rPr>
              <w:t>Frequency</w:t>
            </w:r>
          </w:p>
        </w:tc>
        <w:tc>
          <w:tcPr>
            <w:tcW w:type="dxa" w:w="1216"/>
            <w:vAlign w:val="center"/>
          </w:tcPr>
          <w:p>
            <w:pPr>
              <w:spacing w:before="0" w:after="0" w:line="240" w:lineRule="auto"/>
              <w:jc w:val="center"/>
            </w:pPr>
            <w:r/>
            <w:r>
              <w:rPr>
                <w:rFonts w:ascii="Times New Roman" w:hAnsi="Times New Roman"/>
                <w:b/>
                <w:i w:val="0"/>
                <w:sz w:val="14"/>
              </w:rPr>
              <w:t>Date</w:t>
              <w:br/>
              <w:t>(DDMM</w:t>
              <w:br/>
              <w:t>YYYY)</w:t>
            </w:r>
          </w:p>
        </w:tc>
        <w:tc>
          <w:tcPr>
            <w:tcW w:type="dxa" w:w="1216"/>
            <w:vAlign w:val="center"/>
          </w:tcPr>
          <w:p>
            <w:pPr>
              <w:spacing w:before="0" w:after="0" w:line="240" w:lineRule="auto"/>
              <w:jc w:val="center"/>
            </w:pPr>
            <w:r/>
            <w:r>
              <w:rPr>
                <w:rFonts w:ascii="Times New Roman" w:hAnsi="Times New Roman"/>
                <w:b/>
                <w:i w:val="0"/>
                <w:sz w:val="14"/>
              </w:rPr>
              <w:t>Analyst (Initials)</w:t>
            </w:r>
          </w:p>
        </w:tc>
        <w:tc>
          <w:tcPr>
            <w:tcW w:type="dxa" w:w="1216"/>
            <w:vAlign w:val="center"/>
          </w:tcPr>
          <w:p>
            <w:pPr>
              <w:spacing w:before="0" w:after="0" w:line="240" w:lineRule="auto"/>
              <w:jc w:val="center"/>
            </w:pPr>
            <w:r/>
            <w:r>
              <w:rPr>
                <w:rFonts w:ascii="Times New Roman" w:hAnsi="Times New Roman"/>
                <w:b/>
                <w:i w:val="0"/>
                <w:sz w:val="14"/>
              </w:rPr>
              <w:t>Day /Week(s)</w:t>
            </w:r>
          </w:p>
        </w:tc>
        <w:tc>
          <w:tcPr>
            <w:tcW w:type="dxa" w:w="1216"/>
            <w:vAlign w:val="center"/>
          </w:tcPr>
          <w:p>
            <w:pPr>
              <w:spacing w:before="0" w:after="0" w:line="240" w:lineRule="auto"/>
              <w:jc w:val="center"/>
            </w:pPr>
            <w:r/>
            <w:r>
              <w:rPr>
                <w:rFonts w:ascii="Times New Roman" w:hAnsi="Times New Roman"/>
                <w:b/>
                <w:i w:val="0"/>
                <w:sz w:val="14"/>
              </w:rPr>
              <w:t>Observation</w:t>
            </w:r>
          </w:p>
        </w:tc>
        <w:tc>
          <w:tcPr>
            <w:tcW w:type="dxa" w:w="1216"/>
            <w:vAlign w:val="center"/>
          </w:tcPr>
          <w:p>
            <w:pPr>
              <w:spacing w:before="0" w:after="0" w:line="240" w:lineRule="auto"/>
              <w:jc w:val="center"/>
            </w:pPr>
            <w:r/>
            <w:r>
              <w:rPr>
                <w:rFonts w:ascii="Times New Roman" w:hAnsi="Times New Roman"/>
                <w:b/>
                <w:i w:val="0"/>
                <w:sz w:val="14"/>
              </w:rPr>
              <w:t>Environmental Monitoring Plate ETX ID</w:t>
            </w:r>
          </w:p>
        </w:tc>
        <w:tc>
          <w:tcPr>
            <w:tcW w:type="dxa" w:w="1216"/>
            <w:vAlign w:val="center"/>
          </w:tcPr>
          <w:p>
            <w:pPr>
              <w:spacing w:before="0" w:after="0" w:line="240" w:lineRule="auto"/>
              <w:jc w:val="center"/>
            </w:pPr>
            <w:r/>
            <w:r>
              <w:rPr>
                <w:rFonts w:ascii="Times New Roman" w:hAnsi="Times New Roman"/>
                <w:b/>
                <w:i w:val="0"/>
                <w:sz w:val="14"/>
              </w:rPr>
              <w:t>Microbial ID</w:t>
            </w:r>
          </w:p>
        </w:tc>
        <w:tc>
          <w:tcPr>
            <w:tcW w:type="dxa" w:w="1216"/>
            <w:vAlign w:val="center"/>
          </w:tcPr>
          <w:p>
            <w:pPr>
              <w:spacing w:before="0" w:after="0" w:line="240" w:lineRule="auto"/>
              <w:jc w:val="center"/>
            </w:pPr>
            <w:r/>
            <w:r>
              <w:rPr>
                <w:rFonts w:ascii="Times New Roman" w:hAnsi="Times New Roman"/>
                <w:b/>
                <w:i w:val="0"/>
                <w:sz w:val="14"/>
              </w:rPr>
              <w:t>Notes</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Personnel EM Bracketing 31Aug2026</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Personal (Left Touch and Right Touch)</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Biological Safety Cabinet EM Bracketing Biological Safety Cabinet (BSC) E001314</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ISO 5 (4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28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Before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31 Aug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Settling Sampling of ISO 5 (2 locations)</w:t>
            </w:r>
          </w:p>
        </w:tc>
        <w:tc>
          <w:tcPr>
            <w:tcW w:type="dxa" w:w="1216"/>
            <w:vAlign w:val="center"/>
          </w:tcPr>
          <w:p>
            <w:pPr>
              <w:spacing w:before="0" w:after="0" w:line="240" w:lineRule="auto"/>
              <w:jc w:val="center"/>
            </w:pPr>
            <w:r/>
            <w:r>
              <w:rPr>
                <w:rFonts w:ascii="Times New Roman" w:hAnsi="Times New Roman"/>
                <w:b w:val="0"/>
                <w:i w:val="0"/>
                <w:sz w:val="14"/>
              </w:rPr>
              <w:t>Daily</w:t>
            </w:r>
          </w:p>
        </w:tc>
        <w:tc>
          <w:tcPr>
            <w:tcW w:type="dxa" w:w="1216"/>
            <w:vAlign w:val="center"/>
          </w:tcPr>
          <w:p>
            <w:pPr>
              <w:spacing w:before="0" w:after="0" w:line="240" w:lineRule="auto"/>
              <w:jc w:val="center"/>
            </w:pPr>
            <w:r/>
            <w:r>
              <w:rPr>
                <w:rFonts w:ascii="Times New Roman" w:hAnsi="Times New Roman"/>
                <w:b w:val="0"/>
                <w:i w:val="0"/>
                <w:sz w:val="14"/>
              </w:rPr>
              <w:t>01 Sep 2026</w:t>
            </w:r>
          </w:p>
        </w:tc>
        <w:tc>
          <w:tcPr>
            <w:tcW w:type="dxa" w:w="1216"/>
            <w:vAlign w:val="center"/>
          </w:tcPr>
          <w:p>
            <w:pPr>
              <w:spacing w:before="0" w:after="0" w:line="240" w:lineRule="auto"/>
              <w:jc w:val="center"/>
            </w:pPr>
            <w:r/>
            <w:r>
              <w:rPr>
                <w:rFonts w:ascii="Times New Roman" w:hAnsi="Times New Roman"/>
                <w:b w:val="0"/>
                <w:i w:val="0"/>
                <w:sz w:val="14"/>
              </w:rPr>
              <w:t>ES</w:t>
            </w:r>
          </w:p>
        </w:tc>
        <w:tc>
          <w:tcPr>
            <w:tcW w:type="dxa" w:w="1216"/>
            <w:vAlign w:val="center"/>
          </w:tcPr>
          <w:p>
            <w:pPr>
              <w:spacing w:before="0" w:after="0" w:line="240" w:lineRule="auto"/>
              <w:jc w:val="center"/>
            </w:pPr>
            <w:r/>
            <w:r>
              <w:rPr>
                <w:rFonts w:ascii="Times New Roman" w:hAnsi="Times New Roman"/>
                <w:b w:val="0"/>
                <w:i w:val="0"/>
                <w:sz w:val="14"/>
              </w:rPr>
              <w:t>Date After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Weekly Active Air Sampling for CR 114</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Active Air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1 CFU (ISO8)</w:t>
            </w:r>
          </w:p>
        </w:tc>
        <w:tc>
          <w:tcPr>
            <w:tcW w:type="dxa" w:w="1216"/>
            <w:vAlign w:val="center"/>
          </w:tcPr>
          <w:p>
            <w:pPr>
              <w:spacing w:before="0" w:after="0" w:line="240" w:lineRule="auto"/>
              <w:jc w:val="center"/>
            </w:pPr>
            <w:r/>
            <w:r>
              <w:rPr>
                <w:rFonts w:ascii="Times New Roman" w:hAnsi="Times New Roman"/>
                <w:b w:val="0"/>
                <w:i w:val="0"/>
                <w:sz w:val="14"/>
              </w:rPr>
              <w:t>ETX-260914-0487</w:t>
            </w:r>
          </w:p>
        </w:tc>
        <w:tc>
          <w:tcPr>
            <w:tcW w:type="dxa" w:w="1216"/>
            <w:vAlign w:val="center"/>
          </w:tcPr>
          <w:p>
            <w:pPr>
              <w:spacing w:before="0" w:after="0" w:line="240" w:lineRule="auto"/>
              <w:jc w:val="center"/>
            </w:pPr>
            <w:r/>
            <w:r>
              <w:rPr>
                <w:rFonts w:ascii="Times New Roman" w:hAnsi="Times New Roman"/>
                <w:b w:val="0"/>
                <w:i w:val="0"/>
                <w:sz w:val="14"/>
              </w:rPr>
              <w:t>Pending</w:t>
            </w:r>
          </w:p>
        </w:tc>
        <w:tc>
          <w:tcPr>
            <w:tcW w:type="dxa" w:w="1216"/>
            <w:vAlign w:val="center"/>
          </w:tcPr>
          <w:p>
            <w:pPr>
              <w:spacing w:before="0" w:after="0" w:line="240" w:lineRule="auto"/>
              <w:jc w:val="center"/>
            </w:pPr>
            <w:r/>
            <w:r>
              <w:rPr>
                <w:rFonts w:ascii="Times New Roman" w:hAnsi="Times New Roman"/>
                <w:b w:val="0"/>
                <w:i w:val="0"/>
                <w:sz w:val="14"/>
              </w:rPr>
              <w:t>None</w:t>
            </w:r>
          </w:p>
        </w:tc>
      </w:tr>
      <w:tr>
        <w:trPr>
          <w:trHeight w:val="220" w:hRule="atLeast"/>
        </w:trPr>
        <w:tc>
          <w:tcPr>
            <w:tcW w:type="dxa" w:w="10944"/>
            <w:gridSpan w:val="9"/>
            <w:vAlign w:val="center"/>
          </w:tcPr>
          <w:p>
            <w:pPr>
              <w:spacing w:before="0" w:after="0" w:line="240" w:lineRule="auto"/>
              <w:jc w:val="center"/>
            </w:pPr>
            <w:r/>
            <w:r>
              <w:rPr>
                <w:rFonts w:ascii="Times New Roman" w:hAnsi="Times New Roman"/>
                <w:b/>
                <w:i w:val="0"/>
                <w:sz w:val="15"/>
              </w:rPr>
              <w:t>Surface Sampling of Anteroom and Cleanroom for CR 115 (E001737)</w:t>
            </w:r>
          </w:p>
        </w:tc>
      </w:tr>
      <w:tr>
        <w:trPr>
          <w:trHeight w:val="220" w:hRule="atLeast"/>
        </w:trPr>
        <w:tc>
          <w:tcPr>
            <w:tcW w:type="dxa" w:w="1216"/>
            <w:vAlign w:val="center"/>
          </w:tcPr>
          <w:p>
            <w:pPr>
              <w:spacing w:before="0" w:after="0" w:line="240" w:lineRule="auto"/>
              <w:jc w:val="left"/>
            </w:pPr>
            <w:r/>
            <w:r>
              <w:rPr>
                <w:rFonts w:ascii="Times New Roman" w:hAnsi="Times New Roman"/>
                <w:b w:val="0"/>
                <w:i w:val="0"/>
                <w:sz w:val="14"/>
              </w:rPr>
              <w:t>Surface Sampling of Cleanrooms</w:t>
            </w:r>
          </w:p>
        </w:tc>
        <w:tc>
          <w:tcPr>
            <w:tcW w:type="dxa" w:w="1216"/>
            <w:vAlign w:val="center"/>
          </w:tcPr>
          <w:p>
            <w:pPr>
              <w:spacing w:before="0" w:after="0" w:line="240" w:lineRule="auto"/>
              <w:jc w:val="center"/>
            </w:pPr>
            <w:r/>
            <w:r>
              <w:rPr>
                <w:rFonts w:ascii="Times New Roman" w:hAnsi="Times New Roman"/>
                <w:b w:val="0"/>
                <w:i w:val="0"/>
                <w:sz w:val="14"/>
              </w:rPr>
              <w:t>Weekly</w:t>
            </w:r>
          </w:p>
        </w:tc>
        <w:tc>
          <w:tcPr>
            <w:tcW w:type="dxa" w:w="1216"/>
            <w:vAlign w:val="center"/>
          </w:tcPr>
          <w:p>
            <w:pPr>
              <w:spacing w:before="0" w:after="0" w:line="240" w:lineRule="auto"/>
              <w:jc w:val="center"/>
            </w:pPr>
            <w:r/>
            <w:r>
              <w:rPr>
                <w:rFonts w:ascii="Times New Roman" w:hAnsi="Times New Roman"/>
                <w:b w:val="0"/>
                <w:i w:val="0"/>
                <w:sz w:val="14"/>
              </w:rPr>
              <w:t>04 Sep 2026</w:t>
            </w:r>
          </w:p>
        </w:tc>
        <w:tc>
          <w:tcPr>
            <w:tcW w:type="dxa" w:w="1216"/>
            <w:vAlign w:val="center"/>
          </w:tcPr>
          <w:p>
            <w:pPr>
              <w:spacing w:before="0" w:after="0" w:line="240" w:lineRule="auto"/>
              <w:jc w:val="center"/>
            </w:pPr>
            <w:r/>
            <w:r>
              <w:rPr>
                <w:rFonts w:ascii="Times New Roman" w:hAnsi="Times New Roman"/>
                <w:b w:val="0"/>
                <w:i w:val="0"/>
                <w:sz w:val="14"/>
              </w:rPr>
              <w:t>SMO</w:t>
            </w:r>
          </w:p>
        </w:tc>
        <w:tc>
          <w:tcPr>
            <w:tcW w:type="dxa" w:w="1216"/>
            <w:vAlign w:val="center"/>
          </w:tcPr>
          <w:p>
            <w:pPr>
              <w:spacing w:before="0" w:after="0" w:line="240" w:lineRule="auto"/>
              <w:jc w:val="center"/>
            </w:pPr>
            <w:r/>
            <w:r>
              <w:rPr>
                <w:rFonts w:ascii="Times New Roman" w:hAnsi="Times New Roman"/>
                <w:b w:val="0"/>
                <w:i w:val="0"/>
                <w:sz w:val="14"/>
              </w:rPr>
              <w:t>Week of Testing</w:t>
            </w:r>
          </w:p>
        </w:tc>
        <w:tc>
          <w:tcPr>
            <w:tcW w:type="dxa" w:w="1216"/>
            <w:vAlign w:val="center"/>
          </w:tcPr>
          <w:p>
            <w:pPr>
              <w:spacing w:before="0" w:after="0" w:line="240" w:lineRule="auto"/>
              <w:jc w:val="center"/>
            </w:pPr>
            <w:r/>
            <w:r>
              <w:rPr>
                <w:rFonts w:ascii="Times New Roman" w:hAnsi="Times New Roman"/>
                <w:b w:val="0"/>
                <w:i w:val="0"/>
                <w:sz w:val="14"/>
              </w:rPr>
              <w:t>No growth</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N/A</w:t>
            </w:r>
          </w:p>
        </w:tc>
        <w:tc>
          <w:tcPr>
            <w:tcW w:type="dxa" w:w="1216"/>
            <w:vAlign w:val="center"/>
          </w:tcPr>
          <w:p>
            <w:pPr>
              <w:spacing w:before="0" w:after="0" w:line="240" w:lineRule="auto"/>
              <w:jc w:val="center"/>
            </w:pPr>
            <w:r/>
            <w:r>
              <w:rPr>
                <w:rFonts w:ascii="Times New Roman" w:hAnsi="Times New Roman"/>
                <w:b w:val="0"/>
                <w:i w:val="0"/>
                <w:sz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