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Times New Roman" w:hAnsi="Times New Roman"/>
          <w:b/>
          <w:sz w:val="19"/>
        </w:rPr>
        <w:t>Table 1: Information for ETX-260806-0702 (BUD-T30) under investigation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trHeight w:val="220" w:hRule="atLeast"/>
        </w:trPr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Reading Analyst</w:t>
            </w:r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Day of Incubation</w:t>
            </w:r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Sample ID</w:t>
            </w:r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Related Microbial ID</w:t>
            </w:r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Media with microbial growth</w:t>
            </w:r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Microbial Identification</w:t>
            </w:r>
          </w:p>
        </w:tc>
      </w:tr>
      <w:tr>
        <w:trPr>
          <w:trHeight w:val="220" w:hRule="atLeast"/>
        </w:trPr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Andrew Carrillo</w:t>
            </w:r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7</w:t>
            </w:r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hyperlink r:id="rId9" w:history="1">
              <w:r>
                <w:rPr>
                  <w:rStyle w:val="Hyperlink"/>
                  <w:rFonts w:ascii="Times New Roman" w:hAnsi="Times New Roman"/>
                  <w:color w:val="467886"/>
                  <w:sz w:val="15"/>
                  <w:szCs w:val="15"/>
                  <w:u w:val="single"/>
                </w:rPr>
                <w:t>ETX-260806-0702 (BUD-T30)</w:t>
              </w:r>
            </w:hyperlink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hyperlink r:id="rId10" w:history="1">
              <w:r>
                <w:rPr>
                  <w:rStyle w:val="Hyperlink"/>
                  <w:rFonts w:ascii="Times New Roman" w:hAnsi="Times New Roman"/>
                  <w:color w:val="467886"/>
                  <w:sz w:val="15"/>
                  <w:szCs w:val="15"/>
                  <w:u w:val="single"/>
                </w:rPr>
                <w:t>ETX-260907-0017</w:t>
              </w:r>
            </w:hyperlink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1 x 100 mL TSB</w:t>
            </w:r>
          </w:p>
        </w:tc>
        <w:tc>
          <w:tcPr>
            <w:tcW w:type="dxa" w:w="182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5"/>
              </w:rPr>
              <w:t>Paenibacillus lautus</w:t>
              <w:br/>
              <w:t>Gram (+) rods</w:t>
            </w:r>
          </w:p>
        </w:tc>
      </w:tr>
    </w:tbl>
    <w:p>
      <w:pPr>
        <w:spacing w:before="160" w:after="60"/>
      </w:pPr>
      <w:r>
        <w:rPr>
          <w:rFonts w:ascii="Times New Roman" w:hAnsi="Times New Roman"/>
          <w:b/>
          <w:sz w:val="19"/>
        </w:rPr>
        <w:t>Table 2: Environmental Monitoring for Analyst &amp; Cleanroom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6"/>
        <w:gridCol w:w="1216"/>
        <w:gridCol w:w="1216"/>
        <w:gridCol w:w="1216"/>
        <w:gridCol w:w="1216"/>
        <w:gridCol w:w="1216"/>
        <w:gridCol w:w="1216"/>
        <w:gridCol w:w="1216"/>
        <w:gridCol w:w="1216"/>
      </w:tblGrid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Environmental Monitoring (EM) Sampling Site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Frequency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Date</w:t>
              <w:br/>
              <w:t>(DDMM</w:t>
              <w:br/>
              <w:t>YYYY)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Analyst (Initials)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Day /Week(s)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Observation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Environmental Monitoring Plate ETX ID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Microbial ID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Notes</w:t>
            </w:r>
          </w:p>
        </w:tc>
      </w:tr>
      <w:tr>
        <w:trPr>
          <w:trHeight w:val="220" w:hRule="atLeast"/>
        </w:trPr>
        <w:tc>
          <w:tcPr>
            <w:tcW w:type="dxa" w:w="10944"/>
            <w:gridSpan w:val="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Personnel EM Bracketing 31Aug2026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Personal (Left Touch and Right Touch)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28 Aug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Date Before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Personal (Left Touch and Right Touch)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31 Aug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Date of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Personal (Left Touch and Right Touch)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01 Sep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Date After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0944"/>
            <w:gridSpan w:val="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Biological Safety Cabinet EM Bracketing Biological Safety Cabinet (BSC) E001314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(4 locations)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28 Aug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Date Before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(4 locations)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31 Aug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Date of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(4 locations)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01 Sep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Date After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(2 locations)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28 Aug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Date Before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(2 locations)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31 Aug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Date of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(2 locations)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Daily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01 Sep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Date After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0944"/>
            <w:gridSpan w:val="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Weekly Active Air Sampling for CR 114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Active Air Sampling of Cleanrooms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Weekly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04 Sep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SMO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Week of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1 CFU (ISO8)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ETX-260914-0487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Pending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  <w:tr>
        <w:trPr>
          <w:trHeight w:val="220" w:hRule="atLeast"/>
        </w:trPr>
        <w:tc>
          <w:tcPr>
            <w:tcW w:type="dxa" w:w="10944"/>
            <w:gridSpan w:val="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5"/>
              </w:rPr>
              <w:t>Surface Sampling of Anteroom and Cleanroom for CR 115 (E001737)</w:t>
            </w:r>
          </w:p>
        </w:tc>
      </w:tr>
      <w:tr>
        <w:trPr>
          <w:trHeight w:val="220" w:hRule="atLeast"/>
        </w:trPr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Cleanrooms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Weekly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04 Sep 2026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SMO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Week of Testing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 growth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N/A</w:t>
            </w:r>
          </w:p>
        </w:tc>
        <w:tc>
          <w:tcPr>
            <w:tcW w:type="dxa" w:w="121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None</w:t>
            </w:r>
          </w:p>
        </w:tc>
      </w:tr>
    </w:tbl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trax.eagleanalytical.com/Submission/Details/l-JhbNGUHLdQSKAIyoIIMg__" TargetMode="External"/><Relationship Id="rId10" Type="http://schemas.openxmlformats.org/officeDocument/2006/relationships/hyperlink" Target="https://etrax.eagleanalytical.com/Submission/Details/e33ICd2xlQzZ9QFbX10xKA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