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Times New Roman" w:hAnsi="Times New Roman"/>
          <w:b/>
          <w:sz w:val="19"/>
        </w:rPr>
        <w:t>Table 1: Information for ETX-260806-0702-T30 under investigation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Processing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Reading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Sample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Related Microbial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Media with Microbial growth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Morphology Description</w:t>
            </w:r>
          </w:p>
        </w:tc>
      </w:tr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Alex Saravia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Andrew Carrillo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9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ETX-260806-0702-T30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10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ETX-260907-0017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 x 100 mL TSB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Paenibacillus lautus</w:t>
              <w:br/>
              <w:t>(Gram (+) rods)</w:t>
            </w:r>
          </w:p>
        </w:tc>
      </w:tr>
    </w:tbl>
    <w:p>
      <w:pPr>
        <w:spacing w:before="160" w:after="60"/>
      </w:pPr>
      <w:r>
        <w:rPr>
          <w:rFonts w:ascii="Times New Roman" w:hAnsi="Times New Roman"/>
          <w:b/>
          <w:sz w:val="19"/>
        </w:rPr>
        <w:t>Table 2: Environmental Monitoring for Analyst &amp; Cleanroom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16"/>
        <w:gridCol w:w="1216"/>
        <w:gridCol w:w="1216"/>
        <w:gridCol w:w="1216"/>
        <w:gridCol w:w="1216"/>
        <w:gridCol w:w="1216"/>
        <w:gridCol w:w="1216"/>
        <w:gridCol w:w="1216"/>
        <w:gridCol w:w="1216"/>
      </w:tblGrid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</w:t>
              <w:br/>
              <w:t>Monitoring</w:t>
              <w:br/>
              <w:t>(EM) Sampling</w:t>
              <w:br/>
              <w:t>Site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Frequency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Date</w:t>
              <w:br/>
              <w:t>(DDMMMYYYY)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Analyst</w:t>
              <w:br/>
              <w:t>(Initials)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Day /Week(s)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Observation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</w:t>
              <w:br/>
              <w:t>Monitoring</w:t>
              <w:br/>
              <w:t>Plate ETX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Microbial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Notes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Personnel EM Bracketing 31Aug2026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01Sep2026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Biological Safety Cabinet EM Bracketing Biological Safety Cabinet (BSC) E001316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01Sep2026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31Aug2026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01Sep2026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Weekly Active Air Sampling of CR 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04Sep2026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 CFUs</w:t>
              <w:br/>
              <w:t>(ISO 8 114)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ETX-260914-0487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Gram (+) rods and</w:t>
              <w:br/>
              <w:t>Gram (+) coccobacilli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Surface Sampling of Anteroom and Cleanroom of CR 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04Sep2026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l-JhbNGUHLdQSKAIyoIIMg__" TargetMode="External"/><Relationship Id="rId10" Type="http://schemas.openxmlformats.org/officeDocument/2006/relationships/hyperlink" Target="https://etrax.eagleanalytical.com/Submission/Details/e33ICd2xlQzZ9QFbX10xK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