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 </w:t>
            </w:r>
            <w:r w:rsidR="00A16F93">
              <w:rPr>
                <w:rFonts w:ascii="Times New Roman" w:hAnsi="Times New Roman"/>
                <w:bCs/>
                <w:sz w:val="22"/>
                <w:szCs w:val="22"/>
              </w:rPr>
              <w:t>process</w:t>
            </w:r>
            <w:r>
              <w:rPr>
                <w:rFonts w:ascii="Times New Roman" w:hAnsi="Times New Roman"/>
                <w:bCs/>
                <w:sz w:val="22"/>
                <w:szCs w:val="22"/>
              </w:rPr>
              <w: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test_date }}</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test_date }}</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sample_id }}</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Processor:</w:t>
            </w:r>
          </w:p>
          <w:p w14:paraId="478A6EE0" w14:textId="7F3F771E" w:rsidR="009C1D56" w:rsidRPr="008D39D7" w:rsidRDefault="009C1D56" w:rsidP="009C1D56">
            <w:pPr>
              <w:rPr>
                <w:rFonts w:ascii="Times New Roman" w:hAnsi="Times New Roman"/>
                <w:bCs/>
                <w:sz w:val="22"/>
                <w:szCs w:val="22"/>
              </w:rPr>
            </w:pPr>
            <w:r>
              <w:t>{{ subculture_name }} ({{subculture_initial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Analyst</w:t>
            </w:r>
            <w:r w:rsidR="000E1C2E">
              <w:rPr>
                <w:rFonts w:ascii="Times New Roman" w:hAnsi="Times New Roman"/>
                <w:bCs/>
                <w:sz w:val="22"/>
                <w:szCs w:val="22"/>
              </w:rPr>
              <w:t>:</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_name</w:t>
            </w:r>
            <w:r>
              <w:rPr>
                <w:rFonts w:ascii="Times New Roman" w:hAnsi="Times New Roman"/>
                <w:bCs/>
                <w:sz w:val="22"/>
                <w:szCs w:val="22"/>
              </w:rPr>
              <w:t xml:space="preserve"> }}</w:t>
            </w:r>
            <w:r w:rsidR="0099173B">
              <w:rPr>
                <w:rFonts w:ascii="Times New Roman" w:hAnsi="Times New Roman"/>
                <w:bCs/>
                <w:sz w:val="22"/>
                <w:szCs w:val="22"/>
              </w:rPr>
              <w:t xml:space="preserve"> </w:t>
            </w:r>
            <w:bookmarkEnd w:id="3"/>
            <w:r w:rsidR="0099173B">
              <w:rPr>
                <w:rFonts w:ascii="Times New Roman" w:hAnsi="Times New Roman"/>
                <w:bCs/>
                <w:sz w:val="22"/>
                <w:szCs w:val="22"/>
              </w:rPr>
              <w:t>(</w:t>
            </w:r>
            <w:r w:rsidR="0099173B" w:rsidRPr="008D39D7">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_initial</w:t>
            </w:r>
            <w:r w:rsidR="0099173B" w:rsidRPr="008D39D7">
              <w:rPr>
                <w:rFonts w:ascii="Times New Roman" w:hAnsi="Times New Roman"/>
                <w:bCs/>
                <w:sz w:val="22"/>
                <w:szCs w:val="22"/>
              </w:rPr>
              <w:t xml:space="preserve">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 test_date }}, sample {{ sample_id }}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t>SOP / Test Method #:</w:t>
            </w:r>
          </w:p>
          <w:p w14:paraId="193A51B3" w14:textId="1A1BA108" w:rsidR="00734271" w:rsidRPr="00BA7279" w:rsidRDefault="001010FF" w:rsidP="00CE719F">
            <w:pPr>
              <w:outlineLvl w:val="0"/>
              <w:rPr>
                <w:rFonts w:ascii="Times New Roman" w:hAnsi="Times New Roman"/>
                <w:bCs/>
                <w:sz w:val="22"/>
                <w:szCs w:val="22"/>
              </w:rPr>
            </w:pPr>
            <w:r>
              <w:t>MICRO-SOP-5 (19)</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t xml:space="preserve">Effective Date: </w:t>
            </w:r>
          </w:p>
          <w:p w14:paraId="6D5D0B67" w14:textId="27FD03B0" w:rsidR="00CE719F" w:rsidRPr="00BA7279" w:rsidRDefault="001010FF" w:rsidP="00CE719F">
            <w:pPr>
              <w:outlineLvl w:val="0"/>
              <w:rPr>
                <w:rFonts w:ascii="Times New Roman" w:hAnsi="Times New Roman"/>
                <w:bCs/>
                <w:sz w:val="22"/>
                <w:szCs w:val="22"/>
              </w:rPr>
            </w:pPr>
            <w:r>
              <w:t>24Jul26</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t>SOP / Test Method Rev:</w:t>
            </w:r>
          </w:p>
          <w:p w14:paraId="258B6448" w14:textId="375BD869" w:rsidR="00CE719F" w:rsidRPr="00BA7279" w:rsidRDefault="00CE719F" w:rsidP="00CE719F">
            <w:pPr>
              <w:outlineLvl w:val="0"/>
              <w:rPr>
                <w:rFonts w:ascii="Times New Roman" w:hAnsi="Times New Roman"/>
                <w:bCs/>
                <w:noProof/>
                <w:sz w:val="22"/>
                <w:szCs w:val="22"/>
              </w:rPr>
            </w:pPr>
            <w:r>
              <w:t>Rev: 19</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t>Limits/Specification:</w:t>
            </w:r>
          </w:p>
          <w:p w14:paraId="6F92ED5A" w14:textId="74244FBF" w:rsidR="00CE719F" w:rsidRPr="00BA7279" w:rsidRDefault="00CE719F" w:rsidP="00CE719F">
            <w:pPr>
              <w:outlineLvl w:val="0"/>
              <w:rPr>
                <w:rFonts w:ascii="Times New Roman" w:hAnsi="Times New Roman"/>
                <w:bCs/>
                <w:sz w:val="22"/>
                <w:szCs w:val="22"/>
              </w:rPr>
            </w:pPr>
            <w:r>
              <w:t>Pass/Fail</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EF20E8">
              <w:rPr>
                <w:rFonts w:ascii="Times New Roman" w:hAnsi="Times New Roman"/>
                <w:bCs/>
                <w:sz w:val="22"/>
                <w:szCs w:val="22"/>
              </w:rPr>
              <w:t xml:space="preserve">, </w:t>
            </w:r>
            <w:r w:rsidR="009C1D56">
              <w:rPr>
                <w:rFonts w:ascii="Times New Roman" w:hAnsi="Times New Roman"/>
                <w:bCs/>
                <w:sz w:val="22"/>
                <w:szCs w:val="22"/>
              </w:rPr>
              <w:t xml:space="preserve">{{ </w:t>
            </w:r>
            <w:r w:rsidR="009C1D56">
              <w:rPr>
                <w:rFonts w:ascii="Times New Roman" w:eastAsiaTheme="minorEastAsia" w:hAnsi="Times New Roman" w:hint="eastAsia"/>
                <w:bCs/>
                <w:sz w:val="22"/>
                <w:szCs w:val="22"/>
                <w:lang w:eastAsia="zh-CN"/>
              </w:rPr>
              <w:t>subculture</w:t>
            </w:r>
            <w:r w:rsidR="009C1D56">
              <w:rPr>
                <w:rFonts w:ascii="Times New Roman" w:hAnsi="Times New Roman"/>
                <w:bCs/>
                <w:sz w:val="22"/>
                <w:szCs w:val="22"/>
              </w:rPr>
              <w:t>_name }}</w:t>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 xml:space="preserve">_name }}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t>Yes, as per MICRO-SOP-5</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t>Yes, as per MICRO-SOP-5</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sample_id }}</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ISO 5 BSC E00</w:t>
            </w:r>
            <w:r w:rsidR="00002DF9" w:rsidRPr="005D418C">
              <w:rPr>
                <w:rFonts w:ascii="Times New Roman" w:eastAsiaTheme="minorEastAsia" w:hAnsi="Times New Roman"/>
                <w:bCs/>
                <w:sz w:val="22"/>
                <w:szCs w:val="22"/>
                <w:lang w:eastAsia="zh-CN"/>
              </w:rPr>
              <w:t>{{bsc_id}}</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rsidRPr="00804329">
              <w:rPr>
                <w:rFonts w:ascii="Times New Roman" w:hAnsi="Times New Roman"/>
                <w:sz w:val="22"/>
                <w:szCs w:val="22"/>
              </w:rPr>
              <w:t>E00</w:t>
            </w:r>
            <w:bookmarkStart w:id="11" w:name="OLE_LINK6"/>
            <w:r w:rsidRPr="00804329">
              <w:rPr>
                <w:rFonts w:ascii="Times New Roman" w:hAnsi="Times New Roman"/>
                <w:sz w:val="22"/>
                <w:szCs w:val="22"/>
              </w:rPr>
              <w:t>{{ cr_id }}</w:t>
            </w:r>
            <w:bookmarkEnd w:id="11"/>
            <w:r w:rsidRPr="00804329">
              <w:rPr>
                <w:rFonts w:ascii="Times New Roman" w:hAnsi="Times New Roman"/>
                <w:sz w:val="22"/>
                <w:szCs w:val="22"/>
              </w:rPr>
              <w:t xml:space="preserve"> </w:t>
            </w:r>
            <w:bookmarkStart w:id="12" w:name="OLE_LINK7"/>
            <w:r w:rsidRPr="00804329">
              <w:rPr>
                <w:rFonts w:ascii="Times New Roman" w:hAnsi="Times New Roman"/>
                <w:sz w:val="22"/>
                <w:szCs w:val="22"/>
              </w:rPr>
              <w:t>(CR</w:t>
            </w:r>
            <w:bookmarkStart w:id="13" w:name="OLE_LINK14"/>
            <w:r w:rsidRPr="00804329">
              <w:rPr>
                <w:rFonts w:ascii="Times New Roman" w:hAnsi="Times New Roman"/>
                <w:sz w:val="22"/>
                <w:szCs w:val="22"/>
              </w:rPr>
              <w:t>{{ cr_suit }}</w:t>
            </w:r>
            <w:bookmarkEnd w:id="13"/>
            <w:r w:rsidRPr="00804329">
              <w:rPr>
                <w:rFonts w:ascii="Times New Roman" w:hAnsi="Times New Roman"/>
                <w:sz w:val="22"/>
                <w:szCs w:val="22"/>
              </w:rPr>
              <w:t>)</w:t>
            </w:r>
            <w:bookmarkEnd w:id="12"/>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lastRenderedPageBreak/>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58A0B737" w14:textId="77777777" w:rsidR="005D418C" w:rsidRPr="005D418C" w:rsidRDefault="005D418C" w:rsidP="005D418C">
            <w:pPr>
              <w:outlineLvl w:val="0"/>
              <w:rPr>
                <w:rFonts w:ascii="Times New Roman" w:eastAsiaTheme="minorEastAsia" w:hAnsi="Times New Roman"/>
                <w:bCs/>
                <w:sz w:val="22"/>
                <w:szCs w:val="22"/>
                <w:lang w:eastAsia="zh-CN"/>
              </w:rPr>
            </w:pPr>
          </w:p>
          <w:p w14:paraId="28A193B8"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All the analysts involved in the testing, the processing analyst ({{ analyst_name }}) and the reading analyst who confirmed the positive result ({{ reading_name }}), were interviewed comprehensively. Their answers are recorded throughout this document. </w:t>
            </w:r>
          </w:p>
          <w:p w14:paraId="59ACD268" w14:textId="77777777" w:rsidR="005D418C" w:rsidRPr="005D418C" w:rsidRDefault="005D418C" w:rsidP="005D418C">
            <w:pPr>
              <w:outlineLvl w:val="0"/>
              <w:rPr>
                <w:rFonts w:ascii="Times New Roman" w:eastAsiaTheme="minorEastAsia" w:hAnsi="Times New Roman"/>
                <w:bCs/>
                <w:sz w:val="22"/>
                <w:szCs w:val="22"/>
                <w:lang w:eastAsia="zh-CN"/>
              </w:rPr>
            </w:pPr>
          </w:p>
          <w:p w14:paraId="5610D472"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Upon arrival, the sample was stored in accordance with the Client’s instructions. Analyst {{ prepper_name }} verified the sample’s integrity throughout both the preparation and processing stages. No leaks or turbidity were observed at any point, verifying the integrity of the sample.</w:t>
            </w:r>
          </w:p>
          <w:p w14:paraId="5EB2EC22" w14:textId="77777777" w:rsidR="005D418C" w:rsidRPr="005D418C" w:rsidRDefault="005D418C" w:rsidP="005D418C">
            <w:pPr>
              <w:outlineLvl w:val="0"/>
              <w:rPr>
                <w:rFonts w:ascii="Times New Roman" w:eastAsiaTheme="minorEastAsia" w:hAnsi="Times New Roman"/>
                <w:bCs/>
                <w:sz w:val="22"/>
                <w:szCs w:val="22"/>
                <w:lang w:eastAsia="zh-CN"/>
              </w:rPr>
            </w:pPr>
          </w:p>
          <w:p w14:paraId="1119C293" w14:textId="77777777" w:rsid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w:t>
            </w:r>
          </w:p>
          <w:p w14:paraId="064F4459" w14:textId="77777777" w:rsidR="00D0107B" w:rsidRPr="005D418C" w:rsidRDefault="00D0107B" w:rsidP="005D418C">
            <w:pPr>
              <w:outlineLvl w:val="0"/>
              <w:rPr>
                <w:rFonts w:ascii="Times New Roman" w:eastAsiaTheme="minorEastAsia" w:hAnsi="Times New Roman"/>
                <w:bCs/>
                <w:sz w:val="22"/>
                <w:szCs w:val="22"/>
                <w:lang w:eastAsia="zh-CN"/>
              </w:rPr>
            </w:pPr>
          </w:p>
          <w:p w14:paraId="244A3C4C"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equipment_summary }}</w:t>
            </w:r>
          </w:p>
          <w:p w14:paraId="4EF8009B" w14:textId="77777777" w:rsidR="005D418C" w:rsidRPr="005D418C" w:rsidRDefault="005D418C" w:rsidP="005D418C">
            <w:pPr>
              <w:outlineLvl w:val="0"/>
              <w:rPr>
                <w:rFonts w:ascii="Times New Roman" w:eastAsiaTheme="minorEastAsia" w:hAnsi="Times New Roman"/>
                <w:bCs/>
                <w:sz w:val="22"/>
                <w:szCs w:val="22"/>
                <w:lang w:eastAsia="zh-CN"/>
              </w:rPr>
            </w:pPr>
          </w:p>
          <w:p w14:paraId="1B3C21B6"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{{received_data}}, the sample vials for {{ sample_id }}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(Suite {{ cr_suit }})), where the vials were again treated with acidified bleach and provided a 10‑minute contact time before processing. Subsequently, the vials were moved into the ISO 7 cleanroom Suite {{ cr_suit }}({{ suit }}). Inside this cleanroom, the processing analyst, {{ analyst_name }}, performed a final disinfection step, allowing an additional 10-minute contact time. Once fully disinfected, the vials were transferred into the ISO 5 BSC E00{{bsc_id}}.</w:t>
            </w:r>
          </w:p>
          <w:p w14:paraId="6CE61011" w14:textId="77777777" w:rsidR="005D418C" w:rsidRPr="005D418C" w:rsidRDefault="005D418C" w:rsidP="005D418C">
            <w:pPr>
              <w:outlineLvl w:val="0"/>
              <w:rPr>
                <w:rFonts w:ascii="Times New Roman" w:eastAsiaTheme="minorEastAsia" w:hAnsi="Times New Roman"/>
                <w:bCs/>
                <w:sz w:val="22"/>
                <w:szCs w:val="22"/>
                <w:lang w:eastAsia="zh-CN"/>
              </w:rPr>
            </w:pPr>
          </w:p>
          <w:p w14:paraId="51034AEB" w14:textId="77777777" w:rsidR="005D418C" w:rsidRPr="005D418C" w:rsidRDefault="005D418C" w:rsidP="005D418C">
            <w:pPr>
              <w:outlineLvl w:val="0"/>
              <w:rPr>
                <w:rFonts w:ascii="Times New Roman" w:eastAsiaTheme="minorEastAsia" w:hAnsi="Times New Roman"/>
                <w:bCs/>
                <w:sz w:val="22"/>
                <w:szCs w:val="22"/>
                <w:lang w:eastAsia="zh-CN"/>
              </w:rPr>
            </w:pPr>
            <w:r>
              <w:t xml:space="preserve">Once transferred into the ISO 5 BSC, the vials were placed on the disinfected working surface of the BSC E00{{bsc_id}} and aseptically opened and tested in accordance with MICRO-SOP-5 (USP &lt;71&gt; / EP 2.6.1 Sterility Test). Following testing, the media bottles were subsequently transferred into designated incubators, E001356 and E001357, to initiate incubation. </w:t>
            </w:r>
          </w:p>
          <w:p w14:paraId="065E0532" w14:textId="77777777" w:rsidR="005D418C" w:rsidRPr="005D418C" w:rsidRDefault="005D418C" w:rsidP="005D418C">
            <w:pPr>
              <w:outlineLvl w:val="0"/>
              <w:rPr>
                <w:rFonts w:ascii="Times New Roman" w:eastAsiaTheme="minorEastAsia" w:hAnsi="Times New Roman"/>
                <w:bCs/>
                <w:sz w:val="22"/>
                <w:szCs w:val="22"/>
                <w:lang w:eastAsia="zh-CN"/>
              </w:rPr>
            </w:pPr>
          </w:p>
          <w:p w14:paraId="5FFA1140"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 test_date }} (Day {{incubation_time}} of incubation), microbial growth was observed in {{ positive_media}} media bottle by analyst {{ reading_name }} and confirmed by Microbiology Lab Supervisor Robin Seymour. The organism was identified as {{ positive_org }} (see Table 1).</w:t>
            </w:r>
          </w:p>
          <w:p w14:paraId="1774A609"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w:t>
            </w:r>
          </w:p>
          <w:p w14:paraId="71125C51"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The culture media used were within expiry. Negative control media bottles were processed and incubated under identical conditions and showed no microbial growth, confirming the integrity of the test procedure.</w:t>
            </w:r>
          </w:p>
          <w:p w14:paraId="686C8057" w14:textId="77777777" w:rsidR="005D418C" w:rsidRPr="005D418C" w:rsidRDefault="005D418C" w:rsidP="005D418C">
            <w:pPr>
              <w:outlineLvl w:val="0"/>
              <w:rPr>
                <w:rFonts w:ascii="Times New Roman" w:eastAsiaTheme="minorEastAsia" w:hAnsi="Times New Roman"/>
                <w:bCs/>
                <w:sz w:val="22"/>
                <w:szCs w:val="22"/>
                <w:lang w:eastAsia="zh-CN"/>
              </w:rPr>
            </w:pPr>
          </w:p>
          <w:p w14:paraId="25847F9F"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narrative_summary }} </w:t>
            </w:r>
          </w:p>
          <w:p w14:paraId="6720AD75" w14:textId="77777777" w:rsidR="005D418C" w:rsidRPr="005D418C" w:rsidRDefault="005D418C" w:rsidP="005D418C">
            <w:pPr>
              <w:outlineLvl w:val="0"/>
              <w:rPr>
                <w:rFonts w:ascii="Times New Roman" w:eastAsiaTheme="minorEastAsia" w:hAnsi="Times New Roman"/>
                <w:bCs/>
                <w:sz w:val="22"/>
                <w:szCs w:val="22"/>
                <w:lang w:eastAsia="zh-CN"/>
              </w:rPr>
            </w:pPr>
          </w:p>
          <w:p w14:paraId="6BAB5245" w14:textId="77777777" w:rsidR="005D418C" w:rsidRPr="005D418C" w:rsidRDefault="005D418C" w:rsidP="005D418C">
            <w:pPr>
              <w:outlineLvl w:val="0"/>
              <w:rPr>
                <w:rFonts w:ascii="Times New Roman" w:eastAsiaTheme="minorEastAsia" w:hAnsi="Times New Roman"/>
                <w:bCs/>
                <w:sz w:val="22"/>
                <w:szCs w:val="22"/>
                <w:lang w:eastAsia="zh-CN"/>
              </w:rPr>
            </w:pPr>
            <w:r>
              <w:t xml:space="preserve">The analysts confirmed full compliance with cleaning procedures as outlined in MICRO SOP-9 (Cleaning and Disinfecting Procedure for Microbiology) and MICRO-SOP-5 (USP &lt;71&gt; / EP 2.6.1 Sterility Test). </w:t>
            </w:r>
          </w:p>
          <w:p w14:paraId="26800912" w14:textId="77777777" w:rsidR="005D418C" w:rsidRPr="005D418C" w:rsidRDefault="005D418C" w:rsidP="005D418C">
            <w:pPr>
              <w:outlineLvl w:val="0"/>
              <w:rPr>
                <w:rFonts w:ascii="Times New Roman" w:eastAsiaTheme="minorEastAsia" w:hAnsi="Times New Roman"/>
                <w:bCs/>
                <w:sz w:val="22"/>
                <w:szCs w:val="22"/>
                <w:lang w:eastAsia="zh-CN"/>
              </w:rPr>
            </w:pPr>
          </w:p>
          <w:p w14:paraId="18E8AF83" w14:textId="77777777" w:rsidR="005D418C" w:rsidRPr="005D418C" w:rsidRDefault="005D418C" w:rsidP="005D418C">
            <w:pPr>
              <w:outlineLvl w:val="0"/>
              <w:rPr>
                <w:rFonts w:ascii="Times New Roman" w:eastAsiaTheme="minorEastAsia" w:hAnsi="Times New Roman"/>
                <w:bCs/>
                <w:sz w:val="22"/>
                <w:szCs w:val="22"/>
                <w:lang w:eastAsia="zh-CN"/>
              </w:rPr>
            </w:pPr>
            <w:r>
              <w:t xml:space="preserve">Monthly cleaning and disinfection of the outermost ISO 8 Anteroom, the middle ISO 7 Buffer room, the innermost ISO 7 cleanroom, and its containing ISO 5 Biosafety Cabinets for CR {{ cr_suit }} was performed on {{ monthly_cleaning_date }}, as per MICRO SOP-9 (Cleaning and Disinfecting Procedure for Microbiology) During both cleaning cycles, it was documented that all H₂O₂ indicators passed. This confirms the efficient monthly cleaning of all three parts of Cleanrooms {{ cr_suit }}. </w:t>
            </w:r>
          </w:p>
          <w:p w14:paraId="31A2025E" w14:textId="77777777" w:rsidR="005D418C" w:rsidRPr="005D418C" w:rsidRDefault="005D418C" w:rsidP="005D418C">
            <w:pPr>
              <w:outlineLvl w:val="0"/>
              <w:rPr>
                <w:rFonts w:ascii="Times New Roman" w:eastAsiaTheme="minorEastAsia" w:hAnsi="Times New Roman"/>
                <w:bCs/>
                <w:sz w:val="22"/>
                <w:szCs w:val="22"/>
                <w:lang w:eastAsia="zh-CN"/>
              </w:rPr>
            </w:pPr>
          </w:p>
          <w:p w14:paraId="2F419875"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sample_history_paragraph }}</w:t>
            </w:r>
          </w:p>
          <w:p w14:paraId="02827ED9" w14:textId="77777777" w:rsidR="005D418C" w:rsidRPr="005D418C" w:rsidRDefault="005D418C" w:rsidP="005D418C">
            <w:pPr>
              <w:outlineLvl w:val="0"/>
              <w:rPr>
                <w:rFonts w:ascii="Times New Roman" w:eastAsiaTheme="minorEastAsia" w:hAnsi="Times New Roman"/>
                <w:bCs/>
                <w:sz w:val="22"/>
                <w:szCs w:val="22"/>
                <w:lang w:eastAsia="zh-CN"/>
              </w:rPr>
            </w:pPr>
          </w:p>
          <w:p w14:paraId="6349031A"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To assess the potential for sample-to-sample contamination contributing to the positive results, a comprehensive review was conducted of all samples processed on the same day. {{ cross_contamination_summary }}</w:t>
            </w:r>
          </w:p>
          <w:p w14:paraId="0308E61A" w14:textId="77777777" w:rsidR="005D418C" w:rsidRPr="005D418C" w:rsidRDefault="005D418C" w:rsidP="005D418C">
            <w:pPr>
              <w:outlineLvl w:val="0"/>
              <w:rPr>
                <w:rFonts w:ascii="Times New Roman" w:eastAsiaTheme="minorEastAsia" w:hAnsi="Times New Roman"/>
                <w:bCs/>
                <w:sz w:val="22"/>
                <w:szCs w:val="22"/>
                <w:lang w:eastAsia="zh-CN"/>
              </w:rPr>
            </w:pPr>
          </w:p>
          <w:p w14:paraId="4D44A13D" w14:textId="77777777" w:rsidR="00380004"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07701BE9" w:rsidR="005D418C" w:rsidRPr="00380004" w:rsidRDefault="005D418C" w:rsidP="005D418C">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9012F5" w:rsidRPr="00A54DCC" w14:paraId="47DDA36F" w14:textId="77777777" w:rsidTr="00E81495">
        <w:trPr>
          <w:trHeight w:val="191"/>
          <w:jc w:val="center"/>
        </w:trPr>
        <w:tc>
          <w:tcPr>
            <w:tcW w:w="1620" w:type="dxa"/>
            <w:shd w:val="clear" w:color="auto" w:fill="EEECE1" w:themeFill="background2"/>
            <w:vAlign w:val="center"/>
          </w:tcPr>
          <w:p>
            <w:r>
              <w:t>Processing Analyst</w:t>
            </w:r>
          </w:p>
        </w:tc>
        <w:tc>
          <w:tcPr>
            <w:tcW w:w="1530" w:type="dxa"/>
            <w:shd w:val="clear" w:color="auto" w:fill="EEECE1" w:themeFill="background2"/>
          </w:tcPr>
          <w:p>
            <w:r>
              <w:t>Reading Analyst</w:t>
            </w:r>
          </w:p>
        </w:tc>
        <w:tc>
          <w:tcPr>
            <w:tcW w:w="1453" w:type="dxa"/>
            <w:shd w:val="clear" w:color="auto" w:fill="EEECE1" w:themeFill="background2"/>
            <w:vAlign w:val="center"/>
          </w:tcPr>
          <w:p>
            <w:r>
              <w:t>Sample ID</w:t>
            </w:r>
          </w:p>
        </w:tc>
        <w:tc>
          <w:tcPr>
            <w:tcW w:w="1427" w:type="dxa"/>
            <w:shd w:val="clear" w:color="auto" w:fill="EEECE1" w:themeFill="background2"/>
            <w:vAlign w:val="center"/>
          </w:tcPr>
          <w:p>
            <w:r>
              <w:t>Related Microbial ID</w:t>
            </w:r>
          </w:p>
        </w:tc>
        <w:tc>
          <w:tcPr>
            <w:tcW w:w="1625" w:type="dxa"/>
            <w:shd w:val="clear" w:color="auto" w:fill="EEECE1" w:themeFill="background2"/>
            <w:vAlign w:val="center"/>
          </w:tcPr>
          <w:p>
            <w:r>
              <w:t>Media with Microbial growth</w:t>
            </w:r>
          </w:p>
        </w:tc>
        <w:tc>
          <w:tcPr>
            <w:tcW w:w="2155" w:type="dxa"/>
            <w:shd w:val="clear" w:color="auto" w:fill="EEECE1" w:themeFill="background2"/>
            <w:vAlign w:val="center"/>
          </w:tcPr>
          <w:p>
            <w:r>
              <w:t>Morphology Description</w:t>
            </w:r>
          </w:p>
        </w:tc>
      </w:tr>
      <w:tr w:rsidR="009012F5" w:rsidRPr="00A54DCC" w14:paraId="703E6869" w14:textId="77777777" w:rsidTr="00E81495">
        <w:trPr>
          <w:cantSplit/>
          <w:trHeight w:val="864"/>
          <w:jc w:val="center"/>
        </w:trPr>
        <w:tc>
          <w:tcPr>
            <w:tcW w:w="1620" w:type="dxa"/>
            <w:vAlign w:val="center"/>
          </w:tcPr>
          <w:p w14:paraId="1CD3ABD3" w14:textId="77777777" w:rsidR="009012F5" w:rsidRPr="00352132" w:rsidRDefault="009012F5" w:rsidP="00E81495">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r>
              <w:t>{{ reading_name }}</w:t>
            </w:r>
          </w:p>
        </w:tc>
        <w:tc>
          <w:tcPr>
            <w:tcW w:w="1453" w:type="dxa"/>
            <w:vAlign w:val="center"/>
          </w:tcPr>
          <w:p w14:paraId="0AB3B192" w14:textId="77777777" w:rsidR="009012F5" w:rsidRPr="00A44AFC" w:rsidRDefault="009012F5" w:rsidP="00E81495">
            <w:pPr>
              <w:spacing w:line="360" w:lineRule="auto"/>
              <w:jc w:val="center"/>
              <w:rPr>
                <w:rFonts w:ascii="Times New Roman" w:hAnsi="Times New Roman"/>
                <w:color w:val="467886"/>
                <w:sz w:val="14"/>
                <w:szCs w:val="14"/>
                <w:u w:val="single"/>
              </w:rPr>
            </w:pPr>
            <w:r>
              <w:rPr>
                <w:rFonts w:ascii="Times New Roman" w:hAnsi="Times New Roman"/>
                <w:sz w:val="14"/>
                <w:szCs w:val="14"/>
              </w:rPr>
              <w:t>{{ sample_id }}</w:t>
            </w:r>
          </w:p>
        </w:tc>
        <w:tc>
          <w:tcPr>
            <w:tcW w:w="1427" w:type="dxa"/>
            <w:vAlign w:val="center"/>
          </w:tcPr>
          <w:p w14:paraId="2AAFD7A0" w14:textId="77777777" w:rsidR="009012F5" w:rsidRPr="00691AB1" w:rsidRDefault="009012F5" w:rsidP="00E81495">
            <w:pPr>
              <w:spacing w:line="360" w:lineRule="auto"/>
              <w:jc w:val="center"/>
              <w:rPr>
                <w:rFonts w:ascii="Times New Roman" w:eastAsiaTheme="minorEastAsia" w:hAnsi="Times New Roman"/>
                <w:sz w:val="14"/>
                <w:szCs w:val="18"/>
                <w:lang w:eastAsia="zh-CN"/>
              </w:rPr>
            </w:pPr>
            <w:r w:rsidRPr="00691AB1">
              <w:rPr>
                <w:rFonts w:ascii="Times New Roman" w:hAnsi="Times New Roman"/>
                <w:sz w:val="14"/>
                <w:szCs w:val="14"/>
              </w:rPr>
              <w:t>{{positive_id}}</w:t>
            </w:r>
          </w:p>
        </w:tc>
        <w:tc>
          <w:tcPr>
            <w:tcW w:w="1625" w:type="dxa"/>
            <w:vAlign w:val="center"/>
          </w:tcPr>
          <w:p w14:paraId="36EFE7B2" w14:textId="77777777" w:rsidR="009012F5" w:rsidRPr="006765AF" w:rsidRDefault="009012F5" w:rsidP="00E81495">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positive_media</w:t>
            </w:r>
            <w:r w:rsidRPr="006765AF">
              <w:rPr>
                <w:sz w:val="14"/>
                <w:szCs w:val="14"/>
              </w:rPr>
              <w:t>}}</w:t>
            </w:r>
          </w:p>
        </w:tc>
        <w:tc>
          <w:tcPr>
            <w:tcW w:w="2155" w:type="dxa"/>
            <w:vAlign w:val="center"/>
          </w:tcPr>
          <w:p w14:paraId="2C9877F3" w14:textId="77777777" w:rsidR="009012F5" w:rsidRPr="000D7186" w:rsidRDefault="009012F5" w:rsidP="00E81495">
            <w:pPr>
              <w:pStyle w:val="Default"/>
              <w:spacing w:line="360" w:lineRule="auto"/>
              <w:jc w:val="center"/>
              <w:rPr>
                <w:rFonts w:eastAsiaTheme="minorEastAsia"/>
                <w:sz w:val="14"/>
                <w:szCs w:val="14"/>
                <w:lang w:eastAsia="zh-CN"/>
              </w:rPr>
            </w:pPr>
            <w:r w:rsidRPr="000D7186">
              <w:rPr>
                <w:sz w:val="14"/>
                <w:szCs w:val="14"/>
              </w:rPr>
              <w:t xml:space="preserve">{{ </w:t>
            </w:r>
            <w:r w:rsidRPr="00691AB1">
              <w:rPr>
                <w:sz w:val="14"/>
                <w:szCs w:val="14"/>
              </w:rPr>
              <w:t>positive_org</w:t>
            </w:r>
            <w:r w:rsidRPr="000D7186">
              <w:rPr>
                <w:sz w:val="14"/>
                <w:szCs w:val="14"/>
              </w:rPr>
              <w:t xml:space="preserve"> }}</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 </w:t>
      </w:r>
      <w:r>
        <w:rPr>
          <w:rFonts w:ascii="Times New Roman" w:eastAsiaTheme="minorEastAsia" w:hAnsi="Times New Roman" w:hint="eastAsia"/>
          <w:bCs/>
          <w:sz w:val="18"/>
          <w:szCs w:val="18"/>
          <w:u w:val="single"/>
          <w:lang w:eastAsia="zh-CN"/>
        </w:rPr>
        <w:t>process</w:t>
      </w:r>
      <w:r w:rsidRPr="00A34AB6">
        <w:rPr>
          <w:rFonts w:ascii="Times New Roman" w:hAnsi="Times New Roman"/>
          <w:bCs/>
          <w:sz w:val="18"/>
          <w:szCs w:val="18"/>
          <w:u w:val="single"/>
        </w:rPr>
        <w:t>_date }}</w:t>
      </w:r>
    </w:p>
    <w:p w14:paraId="211F199F" w14:textId="77777777" w:rsidR="009012F5" w:rsidRDefault="009012F5" w:rsidP="009012F5">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9012F5" w14:paraId="734700A6" w14:textId="77777777" w:rsidTr="00E81495">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26A947"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338E256" w14:textId="77777777" w:rsidR="009012F5" w:rsidRPr="0061565E" w:rsidRDefault="009012F5" w:rsidP="00E81495">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84FB30B"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64947082"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2DAD0EF5" w14:textId="77777777" w:rsidR="009012F5" w:rsidRPr="0061565E" w:rsidRDefault="009012F5" w:rsidP="00E81495">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3239DC6" w14:textId="77777777" w:rsidR="009012F5" w:rsidRPr="0061565E" w:rsidRDefault="009012F5" w:rsidP="00E81495">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868ADC9" w14:textId="77777777" w:rsidR="009012F5" w:rsidRPr="0061565E" w:rsidRDefault="009012F5" w:rsidP="00E81495">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2DFF7B3" w14:textId="77777777" w:rsidR="009012F5" w:rsidRPr="0061565E"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52E5549"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D8AA165" w14:textId="77777777" w:rsidR="009012F5" w:rsidRPr="0061565E"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A5E6B4B" w14:textId="77777777" w:rsidR="009012F5" w:rsidRPr="0061565E" w:rsidRDefault="009012F5" w:rsidP="00E81495">
            <w:pPr>
              <w:jc w:val="center"/>
            </w:pPr>
            <w:r w:rsidRPr="0061565E">
              <w:rPr>
                <w:rFonts w:ascii="Times New Roman" w:hAnsi="Times New Roman"/>
                <w:color w:val="000000" w:themeColor="text1"/>
                <w:sz w:val="12"/>
                <w:szCs w:val="12"/>
              </w:rPr>
              <w:t>Notes</w:t>
            </w:r>
          </w:p>
        </w:tc>
      </w:tr>
      <w:tr w:rsidR="009012F5" w14:paraId="016C54C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05F0C96F" w14:textId="77777777" w:rsidR="009012F5" w:rsidRPr="00A86D79" w:rsidRDefault="009012F5" w:rsidP="00E81495">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p>
        </w:tc>
      </w:tr>
      <w:tr w:rsidR="009012F5" w14:paraId="04600EC1"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FE467E" w14:textId="77777777" w:rsidR="009012F5" w:rsidRPr="00206FD9" w:rsidRDefault="009012F5" w:rsidP="00E81495">
            <w:pPr>
              <w:jc w:val="center"/>
              <w:rPr>
                <w:rFonts w:eastAsiaTheme="minorEastAsia"/>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Processing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CE31994"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F5924E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9E8D9A7" w14:textId="77777777" w:rsidR="009012F5" w:rsidRPr="00B8151E" w:rsidRDefault="009012F5" w:rsidP="00E81495">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4F2B6B6"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80BD4"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CAA832"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3A35A75" w14:textId="77777777" w:rsidR="009012F5"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CD2219B"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5900F535"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2B49D" w14:textId="77777777" w:rsidR="009012F5" w:rsidRPr="00206FD9" w:rsidRDefault="009012F5" w:rsidP="00E81495">
            <w:pPr>
              <w:jc w:val="center"/>
              <w:rPr>
                <w:rFonts w:ascii="Times New Roman" w:eastAsiaTheme="minorEastAsia" w:hAnsi="Times New Roman"/>
                <w:color w:val="000000" w:themeColor="text1"/>
                <w:sz w:val="14"/>
                <w:szCs w:val="14"/>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Aliquoting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277D535"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3B3AED"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508CDC" w14:textId="77777777" w:rsidR="009012F5" w:rsidRPr="00231491" w:rsidRDefault="009012F5" w:rsidP="00E81495">
            <w:pPr>
              <w:jc w:val="center"/>
              <w:rPr>
                <w:rFonts w:ascii="Times New Roman" w:hAnsi="Times New Roman"/>
                <w:color w:val="000000" w:themeColor="text1"/>
                <w:sz w:val="14"/>
                <w:szCs w:val="14"/>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638AA04"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DF29FA"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A5A4373"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DA4E46"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8F98F73"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6DA5D53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4CBE892"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bsc_id }}</w:t>
            </w:r>
            <w:r>
              <w:rPr>
                <w:rFonts w:ascii="Times New Roman" w:hAnsi="Times New Roman"/>
                <w:b/>
                <w:bCs/>
                <w:color w:val="000000" w:themeColor="text1"/>
                <w:sz w:val="14"/>
                <w:szCs w:val="14"/>
              </w:rPr>
              <w:t xml:space="preserve"> and E001798</w:t>
            </w:r>
          </w:p>
        </w:tc>
      </w:tr>
      <w:tr w:rsidR="009012F5" w14:paraId="5B85E3EA"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DF2B22C"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AA053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F962662"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E4B418F"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81F017D"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888D9A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137D5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BC54FD"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F153458"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CBB6CED"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580F1"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B07DD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3D83DE1"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CAB0FC"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FF4A1FE"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F75D12"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BA668A"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FC7E4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85EC00"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E7FD372"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4EB164"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EF8156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E591216"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A17CCC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16DE22"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485E8" w14:textId="77777777" w:rsidR="009012F5" w:rsidRPr="00B8151E"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BA20107"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10E4B2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C66CAD3"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4BDAD696"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DFB19B"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AD3E1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9337CFF"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4F4CE1"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8453286"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1B00FE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5EE6D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CB6CE0"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1C9709"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F50CBE0"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256719AD"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6F1ADBAF"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59AA3BE5" w14:textId="77777777" w:rsidR="009012F5" w:rsidRDefault="009012F5" w:rsidP="00E81495">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72C8B334" w14:textId="77777777" w:rsidR="009012F5" w:rsidRDefault="009012F5" w:rsidP="00E81495">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188FCB21"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5F706091"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753581A0" w14:textId="77777777" w:rsidR="009012F5" w:rsidRDefault="009012F5" w:rsidP="00E81495">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0BAC6FF" w14:textId="77777777" w:rsidR="009012F5" w:rsidRDefault="009012F5" w:rsidP="00E81495">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3870DF75" w14:textId="77777777" w:rsidR="009012F5"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D395588" w14:textId="77777777" w:rsidR="009012F5" w:rsidRDefault="009012F5" w:rsidP="00E81495">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B932DED" w14:textId="77777777" w:rsidR="009012F5"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5855D009" w14:textId="77777777" w:rsidR="009012F5" w:rsidRDefault="009012F5" w:rsidP="00E81495">
            <w:pPr>
              <w:jc w:val="center"/>
            </w:pPr>
            <w:r w:rsidRPr="0061565E">
              <w:rPr>
                <w:rFonts w:ascii="Times New Roman" w:hAnsi="Times New Roman"/>
                <w:color w:val="000000" w:themeColor="text1"/>
                <w:sz w:val="12"/>
                <w:szCs w:val="12"/>
              </w:rPr>
              <w:t>Notes</w:t>
            </w:r>
          </w:p>
        </w:tc>
      </w:tr>
      <w:tr w:rsidR="009012F5" w14:paraId="480E4F48" w14:textId="77777777" w:rsidTr="00E81495">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746AB06C" w14:textId="77777777" w:rsidR="009012F5" w:rsidRDefault="009012F5" w:rsidP="00E81495">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3BFF1625"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44016D7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05D1813E"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5157E98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34A70795"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6DABEAB"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10D149F1"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9012F5" w14:paraId="0C110937"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80467DA"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77CEAAB2"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049B2F7E"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5079A434"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659D37E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5B7691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6EA699E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086AFD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0B799B63"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34ACE0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