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Clea S. Garza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11-May-2026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ETX-260518-0273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Clea S. Garza</w:t>
              <w:br/>
              <w:t xml:space="preserve">(Surface Sampling (Changeover) Analyst)</w:t>
              <w:br/>
              <w:t xml:space="preserve"/>
              <w:br/>
              <w:t xml:space="preserve">Maraya Chukwumerije and Sophia Santamaria</w:t>
              <w:br/>
              <w:t xml:space="preserve">(Surface Sampling (Changeover)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ScanC/O CGS E001309 S1 11MAY2026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ScanC/O CGS E001309 S1 11MAY2026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23-Jul-2026</w:t>
              <w:br/>
            </w:r>
          </w:p>
        </w:tc>
        <w:tc>
          <w:tcPr>
            <w:tcW w:w="1800" w:type="dxa"/>
            <w:gridSpan w:val="2"/>
          </w:tcPr>
          <w:p>
            <w:r>
              <w:t>SOP / Test Method Rev:</w:t>
              <w:br/>
              <w:t>16</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Clea S. Garza and Maraya Chukwumerije and Sophia Santamaria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ETX-260518-0273</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1011543730</w:t>
            </w:r>
          </w:p>
        </w:tc>
        <w:tc>
          <w:tcPr>
            <w:tcW w:w="1800" w:type="dxa"/>
          </w:tcPr>
          <w:p>
            <w:r>
              <w:t xml:space="preserve">Contact Plate:</w:t>
              <w:br/>
              <w:t xml:space="preserve">29SEP2026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CR117 (E001739)</w:t>
            </w:r>
          </w:p>
        </w:tc>
        <w:tc>
          <w:tcPr>
            <w:tcW w:w="1800" w:type="dxa"/>
            <w:shd w:val="clear" w:color="auto" w:fill="FFFFFF" w:themeFill="background1"/>
          </w:tcPr>
          <w:p>
            <w:r>
              <w:t xml:space="preserve">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Clea S. Garza, including left- and right-touch plates, showed no microbial growth on the date before testing (08 May 2026), the date of testing (11 May 2026), and the date after testing (12 May 2026).</w:t>
              <w:br/>
              <w:t xml:space="preserve"/>
              <w:br/>
              <w:t xml:space="preserve">For ISO 5 BSC E001309, daily surface sampling of four locations showed no microbial growth on the date before testing (08 May 2026). On the date of testing (11 May 2026), 1 CFU was recovered from S1 associated with Clea S. Garza. The recovery was documented under ETX-260518-0273; microbial identification indicated colony-like artifact (White, shiny, hardened, smooth area embedded on agar). Surface sampling performed on the date after testing (12 May 2026) showed no microbial growth.</w:t>
              <w:br/>
              <w:t xml:space="preserve"/>
              <w:br/>
              <w:t xml:space="preserve">Settling sampling of ISO 5 BSC E001309, including two locations, showed no microbial growth on the date before testing (08 May 2026), the date of testing (11 May 2026), and the date after testing (12 May 2026).</w:t>
              <w:br/>
              <w:t xml:space="preserve"/>
              <w:br/>
              <w:t xml:space="preserve">Weekly active-air monitoring of Suite 117 conducted during the week before testing and the week of testing showed no microbial growth.</w:t>
              <w:br/>
              <w:t xml:space="preserve"/>
              <w:br/>
              <w:t xml:space="preserve">Weekly surface monitoring of the anteroom and cleanroom areas associated with Suite 117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(117), ISO 7 buffer room (117A), ISO 7 cleanroom (117B), and the ISO 5 biosafety cabinets located within Room 117B, were performed on 26 April 2026 by Analyst - Tamiru Kotisso and Cuong Du - in accordance with MICRO-SOP-9, Cleaning and Disinfecting Procedure for Microbiology. All H2O2 indicators passed, confirming the successful completion and effectiveness of the monthly cleaning and disinfection activities within Rooms 117, 117A, and 117B. Additionally, routine cleaning and disinfection were performed before and after the testing activity in accordance with MICRO-SOP-9.</w:t>
              <w:br/>
              <w:t xml:space="preserve"/>
              <w:br/>
              <w:t xml:space="preserve">It is also important to note that no samples processed by Clea S. Garza in ISO 5 BSC E001309 on the date of testing (11 May 2026) failed SCAN RDI testing.</w:t>
              <w:br/>
              <w:t xml:space="preserve"/>
              <w:br/>
              <w:t xml:space="preserve">Based on the available evidence, one colony-like artifact was observed on ScanC/O CGS E001309 S1 11MAY2026 in ISO 5 BSC E001309 on the date of testing (11 May 2026). However, the observation could not be confirmed as a viable microbial CFU because no growth was obtained following inoculation onto fresh media. Therefore, the observation may represent a nonviable or non-microbial artifact, including a potential artifact associated with agar preparation or the agar-pouring process.</w:t>
              <w:br/>
              <w:t xml:space="preserve"/>
              <w:br/>
              <w:t xml:space="preserve">If the observed artifact had represented a viable CFU, it would appear to be an isolated event. This assessment is supported by the absence of microbial recovery from Clea S. Garza's personnel-monitoring plates on the date before testing (08 May 2026), the date of testing (11 May 2026), and the date after testing (12 May 2026); the absence of growth from BSC E001309 surface samples collected on the date before testing and the date after testing; and the absence of growth from ISO 5 settling plates throughout the bracketing period.</w:t>
              <w:br/>
              <w:t xml:space="preserve"/>
              <w:br/>
              <w:t xml:space="preserve">The negative ISO 5 settling, personnel, and bracketing surface monitoring results demonstrate that the BSC E001309 critical environment remained in a state of control. The available data do not support migration, persistence, or recurrence of contamination within ISO 5 BSC E001309.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ETX-260518-0273</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11-May-2026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ScanC/O CGS E001309 S1 11MAY2026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ETX-260518-0273</w:t>
            </w:r>
          </w:p>
        </w:tc>
        <w:tc>
          <w:tcPr>
            <w:tcW w:type="dxa" w:w="1350"/>
            <w:tcMar>
              <w:top w:w="50" w:type="dxa"/>
              <w:bottom w:w="50" w:type="dxa"/>
              <w:left w:w="50" w:type="dxa"/>
              <w:right w:w="50" w:type="dxa"/>
            </w:tcMar>
          </w:tcPr>
          <w:p>
            <w:pPr>
              <w:jc w:val="center"/>
            </w:pPr>
            <w:r>
              <w:rPr>
                <w:rFonts w:ascii="Arial" w:hAnsi="Arial"/>
                <w:sz w:val="16"/>
              </w:rPr>
              <w:t xml:space="preserve">CGS 11-May-2026</w:t>
            </w:r>
          </w:p>
        </w:tc>
        <w:tc>
          <w:tcPr>
            <w:tcW w:type="dxa" w:w="1350"/>
            <w:tcMar>
              <w:top w:w="50" w:type="dxa"/>
              <w:bottom w:w="50" w:type="dxa"/>
              <w:left w:w="50" w:type="dxa"/>
              <w:right w:w="50" w:type="dxa"/>
            </w:tcMar>
          </w:tcPr>
          <w:p>
            <w:pPr>
              <w:jc w:val="center"/>
            </w:pPr>
            <w:r>
              <w:rPr>
                <w:rFonts w:ascii="Arial" w:hAnsi="Arial"/>
                <w:sz w:val="16"/>
              </w:rPr>
              <w:t xml:space="preserve">Surface Sampling (Changeover) Plate (BSC E001309)</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SAS</w:t>
            </w:r>
          </w:p>
        </w:tc>
        <w:tc>
          <w:tcPr>
            <w:tcW w:type="dxa" w:w="1350"/>
            <w:tcMar>
              <w:top w:w="50" w:type="dxa"/>
              <w:bottom w:w="50" w:type="dxa"/>
              <w:left w:w="50" w:type="dxa"/>
              <w:right w:w="50" w:type="dxa"/>
            </w:tcMar>
          </w:tcPr>
          <w:p>
            <w:pPr>
              <w:jc w:val="center"/>
            </w:pPr>
            <w:r>
              <w:rPr>
                <w:rFonts w:ascii="Arial" w:hAnsi="Arial"/>
                <w:sz w:val="16"/>
              </w:rPr>
              <w:t xml:space="preserve">1 CFU on ScanC/O CGS E001309 S1 11MAY2026</w:t>
            </w:r>
          </w:p>
        </w:tc>
        <w:tc>
          <w:tcPr>
            <w:tcW w:type="dxa" w:w="1350"/>
            <w:tcMar>
              <w:top w:w="50" w:type="dxa"/>
              <w:bottom w:w="50" w:type="dxa"/>
              <w:left w:w="50" w:type="dxa"/>
              <w:right w:w="50" w:type="dxa"/>
            </w:tcMar>
          </w:tcPr>
          <w:p>
            <w:pPr>
              <w:jc w:val="left"/>
            </w:pPr>
            <w:r>
              <w:rPr>
                <w:rFonts w:ascii="Arial" w:hAnsi="Arial"/>
                <w:sz w:val="16"/>
              </w:rPr>
              <w:t xml:space="preserve">colony-like artifact (White, shiny, hardened, smooth area embedded on agar)</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ETX-260518-0273</w:t>
            </w:r>
          </w:p>
        </w:tc>
        <w:tc>
          <w:tcPr>
            <w:tcW w:type="dxa" w:w="1200"/>
            <w:tcMar>
              <w:top w:w="40" w:type="dxa"/>
              <w:bottom w:w="40" w:type="dxa"/>
              <w:left w:w="50" w:type="dxa"/>
              <w:right w:w="50" w:type="dxa"/>
            </w:tcMar>
          </w:tcPr>
          <w:p>
            <w:pPr>
              <w:jc w:val="left"/>
            </w:pPr>
            <w:r>
              <w:rPr>
                <w:rFonts w:ascii="Arial" w:hAnsi="Arial"/>
                <w:sz w:val="16"/>
              </w:rPr>
              <w:t xml:space="preserve">colony-like artifact (White, shiny, hardened, smooth area embedded on agar)</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