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160"/>
            <w:shd w:fill="E8E8E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Sampling Location</w:t>
            </w:r>
          </w:p>
        </w:tc>
        <w:tc>
          <w:tcPr>
            <w:tcW w:type="dxa" w:w="1008"/>
            <w:shd w:fill="E8E8E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Read Date</w:t>
              <w:br/>
              <w:t>(30-35°C, NLT 48h)</w:t>
            </w:r>
          </w:p>
        </w:tc>
        <w:tc>
          <w:tcPr>
            <w:tcW w:type="dxa" w:w="576"/>
            <w:shd w:fill="E8E8E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Read</w:t>
              <w:br/>
              <w:t>By</w:t>
            </w:r>
          </w:p>
        </w:tc>
        <w:tc>
          <w:tcPr>
            <w:tcW w:type="dxa" w:w="1296"/>
            <w:shd w:fill="E8E8E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CFU Count /</w:t>
              <w:br/>
              <w:t>Observation</w:t>
            </w:r>
          </w:p>
        </w:tc>
        <w:tc>
          <w:tcPr>
            <w:tcW w:type="dxa" w:w="1008"/>
            <w:shd w:fill="E8E8E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Read Date</w:t>
              <w:br/>
              <w:t>(20-25°C, NLT 5d)</w:t>
            </w:r>
          </w:p>
        </w:tc>
        <w:tc>
          <w:tcPr>
            <w:tcW w:type="dxa" w:w="576"/>
            <w:shd w:fill="E8E8E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Read</w:t>
              <w:br/>
              <w:t>By</w:t>
            </w:r>
          </w:p>
        </w:tc>
        <w:tc>
          <w:tcPr>
            <w:tcW w:type="dxa" w:w="1296"/>
            <w:shd w:fill="E8E8E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CFU Count /</w:t>
              <w:br/>
              <w:t>Observation</w:t>
            </w:r>
          </w:p>
        </w:tc>
        <w:tc>
          <w:tcPr>
            <w:tcW w:type="dxa" w:w="1440"/>
            <w:shd w:fill="E8E8E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Microbial Identification</w:t>
            </w:r>
          </w:p>
        </w:tc>
      </w:tr>
      <w:tr>
        <w:tc>
          <w:tcPr>
            <w:tcW w:type="dxa" w:w="2160"/>
            <w:shd w:fill="FFFFFF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(Changeover) Plate (BSC E001309)</w:t>
            </w:r>
          </w:p>
        </w:tc>
        <w:tc>
          <w:tcPr>
            <w:tcW w:type="dxa" w:w="1008"/>
            <w:shd w:fill="FFFFFF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13 May 2026</w:t>
            </w:r>
          </w:p>
        </w:tc>
        <w:tc>
          <w:tcPr>
            <w:tcW w:type="dxa" w:w="576"/>
            <w:shd w:fill="FFFFFF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MC</w:t>
            </w:r>
          </w:p>
        </w:tc>
        <w:tc>
          <w:tcPr>
            <w:tcW w:type="dxa" w:w="1296"/>
            <w:shd w:fill="FFFFFF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microbial growth was observed</w:t>
            </w:r>
          </w:p>
        </w:tc>
        <w:tc>
          <w:tcPr>
            <w:tcW w:type="dxa" w:w="1008"/>
            <w:shd w:fill="FFFFFF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18 May 2026</w:t>
            </w:r>
          </w:p>
        </w:tc>
        <w:tc>
          <w:tcPr>
            <w:tcW w:type="dxa" w:w="576"/>
            <w:shd w:fill="FFFFFF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SAS</w:t>
            </w:r>
          </w:p>
        </w:tc>
        <w:tc>
          <w:tcPr>
            <w:tcW w:type="dxa" w:w="1296"/>
            <w:shd w:fill="FFFFFF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 CFU on ScanC/O CGS E001309 S1 11MAY2026</w:t>
            </w:r>
          </w:p>
        </w:tc>
        <w:tc>
          <w:tcPr>
            <w:tcW w:type="dxa" w:w="1440"/>
            <w:shd w:fill="FFFFFF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White, shiny, hardened, smooth area embeded on agar</w:t>
            </w:r>
          </w:p>
        </w:tc>
      </w:tr>
    </w:tbl>
    <w:p>
      <w:pPr>
        <w:spacing w:before="12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Environmental Monitoring (EM) Sampling Site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Frequency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Date</w:t>
              <w:br/>
              <w:t>(DDMM</w:t>
              <w:br/>
              <w:t>YYYY)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Analyst (Initials)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Day /Week(s)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Observation*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Environmental Monitoring Plate ETX ID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Microbial ID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Notes</w:t>
            </w:r>
          </w:p>
        </w:tc>
      </w:tr>
      <w:tr>
        <w:tc>
          <w:tcPr>
            <w:tcW w:type="dxa" w:w="9360"/>
            <w:gridSpan w:val="9"/>
            <w:shd w:fill="D9D9D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4"/>
              </w:rPr>
              <w:t>Personnel EM Bracketing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Personal (Left Touch and Right Touch)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08MAY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CGS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Before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Personal (Left Touch and Right Touch)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11MAY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CGS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of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Personal (Left Touch and Right Touch)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12MAY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CGS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After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9360"/>
            <w:gridSpan w:val="9"/>
            <w:shd w:fill="D9D9D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4"/>
              </w:rPr>
              <w:t>Biological Safety Cabinet EM Bracketing Biological Safety Cabinet (BSC) 1309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ISO 5 (4 locations)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09MAY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VV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Before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ISO 5</w:t>
              <w:br/>
              <w:t>(4 locations)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11MAY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 xml:space="preserve">CGS, DT, GA, VV 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of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 CFU on S1 for CGS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ETX-260518-0273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 White, shiny, hardened, smooth area embeded on agar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ISO 5 (4 locations)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12MAY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PG, DT, HS, ELB, GA, VV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After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Settling Sampling of ISO 5 (2 locations)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09MAY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VV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Before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Settling Sampling of ISO 5 (2 locations)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11MAY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 xml:space="preserve">CGS, DT, GA, VV 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of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Settling Sampling of ISO 5 (2 locations)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12MAY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PG, DT, HS, ELB, GA, VV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After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9360"/>
            <w:gridSpan w:val="9"/>
            <w:shd w:fill="D9D9D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4"/>
              </w:rPr>
              <w:t>Weekly Active Air Sampling Bracketing 117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Active Air Sampling of Cleanrooms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29APR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SMO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 (On of Testing Date)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Active Air Sampling of Cleanrooms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07MAY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SMO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 (On or After Testing Date)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2 CFU for 117 Air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ETX-260518-0263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Gram (+) cocci</w:t>
              <w:br/>
              <w:t xml:space="preserve"> Gram (+) pleomorphic rods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9360"/>
            <w:gridSpan w:val="9"/>
            <w:shd w:fill="D9D9D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4"/>
              </w:rPr>
              <w:t>Surface Sampling of Anteroom and Cleanroom Bracketing 117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Cleanrooms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29APR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SMO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 (On of Testing Date)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Cleanrooms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07MAY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SMO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 (On or After Testing Date)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