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28"/>
        </w:rPr>
        <w:t>EAGLE ANALYTICAL SERVICES</w:t>
      </w:r>
    </w:p>
    <w:p>
      <w:pPr>
        <w:jc w:val="center"/>
      </w:pPr>
      <w:r>
        <w:rPr>
          <w:b/>
          <w:color w:val="2B6CB0"/>
          <w:sz w:val="22"/>
        </w:rPr>
        <w:t>QUALITY RISK ASSESSMENT &amp; PRODUCT IMPACT EVALUATION ADDENDUM</w:t>
        <w:br/>
        <w:t>Associated with Nonconformance Report NCR# N26436</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F7FAFC"/>
            <w:tcBorders>
              <w:top w:val="single" w:sz="4" w:space="0" w:color="CBD5E0"/>
              <w:bottom w:val="single" w:sz="4" w:space="0" w:color="CBD5E0"/>
              <w:left w:val="single" w:sz="4" w:space="0" w:color="CBD5E0"/>
              <w:right w:val="single" w:sz="4" w:space="0" w:color="CBD5E0"/>
            </w:tcBorders>
          </w:tcPr>
          <w:p>
            <w:pPr>
              <w:spacing w:before="40" w:after="40"/>
            </w:pPr>
            <w:r>
              <w:rPr>
                <w:b/>
                <w:color w:val="1A365D"/>
                <w:sz w:val="17"/>
              </w:rPr>
              <w:t>NCR Number:</w:t>
            </w:r>
            <w:r>
              <w:rPr>
                <w:sz w:val="17"/>
              </w:rPr>
              <w:t xml:space="preserve"> N26436</w:t>
            </w:r>
          </w:p>
        </w:tc>
        <w:tc>
          <w:tcPr>
            <w:tcW w:type="dxa" w:w="3360"/>
            <w:shd w:fill="F7FAFC"/>
            <w:tcBorders>
              <w:top w:val="single" w:sz="4" w:space="0" w:color="CBD5E0"/>
              <w:bottom w:val="single" w:sz="4" w:space="0" w:color="CBD5E0"/>
              <w:left w:val="single" w:sz="4" w:space="0" w:color="CBD5E0"/>
              <w:right w:val="single" w:sz="4" w:space="0" w:color="CBD5E0"/>
            </w:tcBorders>
          </w:tcPr>
          <w:p>
            <w:pPr>
              <w:spacing w:before="40" w:after="40"/>
            </w:pPr>
            <w:r>
              <w:rPr>
                <w:b/>
                <w:color w:val="1A365D"/>
                <w:sz w:val="17"/>
              </w:rPr>
              <w:t>Date of Evaluation:</w:t>
            </w:r>
            <w:r>
              <w:rPr>
                <w:sz w:val="17"/>
              </w:rPr>
              <w:t xml:space="preserve"> 27-Aug-2026</w:t>
            </w:r>
          </w:p>
        </w:tc>
        <w:tc>
          <w:tcPr>
            <w:tcW w:type="dxa" w:w="3360"/>
            <w:shd w:fill="F7FAFC"/>
            <w:tcBorders>
              <w:top w:val="single" w:sz="4" w:space="0" w:color="CBD5E0"/>
              <w:bottom w:val="single" w:sz="4" w:space="0" w:color="CBD5E0"/>
              <w:left w:val="single" w:sz="4" w:space="0" w:color="CBD5E0"/>
              <w:right w:val="single" w:sz="4" w:space="0" w:color="CBD5E0"/>
            </w:tcBorders>
          </w:tcPr>
          <w:p>
            <w:pPr>
              <w:spacing w:before="40" w:after="40"/>
            </w:pPr>
            <w:r>
              <w:rPr>
                <w:b/>
                <w:color w:val="1A365D"/>
                <w:sz w:val="17"/>
              </w:rPr>
              <w:t>Department:</w:t>
            </w:r>
            <w:r>
              <w:rPr>
                <w:sz w:val="17"/>
              </w:rPr>
              <w:t xml:space="preserve"> Microbiology (Sterility)</w:t>
            </w:r>
          </w:p>
        </w:tc>
      </w:tr>
      <w:tr>
        <w:tc>
          <w:tcPr>
            <w:tcW w:type="dxa" w:w="3360"/>
            <w:shd w:fill="F7FAFC"/>
            <w:tcBorders>
              <w:top w:val="single" w:sz="4" w:space="0" w:color="CBD5E0"/>
              <w:bottom w:val="single" w:sz="4" w:space="0" w:color="CBD5E0"/>
              <w:left w:val="single" w:sz="4" w:space="0" w:color="CBD5E0"/>
              <w:right w:val="single" w:sz="4" w:space="0" w:color="CBD5E0"/>
            </w:tcBorders>
          </w:tcPr>
          <w:p>
            <w:pPr>
              <w:spacing w:before="40" w:after="40"/>
            </w:pPr>
            <w:r>
              <w:rPr>
                <w:b/>
                <w:color w:val="1A365D"/>
                <w:sz w:val="17"/>
              </w:rPr>
              <w:t>Affected Location:</w:t>
            </w:r>
            <w:r>
              <w:rPr>
                <w:sz w:val="17"/>
              </w:rPr>
              <w:t xml:space="preserve"> Cleanroom Suite 114 (Anteroom 114A &amp; Buffer 114B)</w:t>
            </w:r>
          </w:p>
        </w:tc>
        <w:tc>
          <w:tcPr>
            <w:tcW w:type="dxa" w:w="3360"/>
            <w:shd w:fill="F7FAFC"/>
            <w:tcBorders>
              <w:top w:val="single" w:sz="4" w:space="0" w:color="CBD5E0"/>
              <w:bottom w:val="single" w:sz="4" w:space="0" w:color="CBD5E0"/>
              <w:left w:val="single" w:sz="4" w:space="0" w:color="CBD5E0"/>
              <w:right w:val="single" w:sz="4" w:space="0" w:color="CBD5E0"/>
            </w:tcBorders>
          </w:tcPr>
          <w:p>
            <w:pPr>
              <w:spacing w:before="40" w:after="40"/>
            </w:pPr>
            <w:r>
              <w:rPr>
                <w:b/>
                <w:color w:val="1A365D"/>
                <w:sz w:val="17"/>
              </w:rPr>
              <w:t>Missed Period:</w:t>
            </w:r>
            <w:r>
              <w:rPr>
                <w:sz w:val="17"/>
              </w:rPr>
              <w:t xml:space="preserve"> 02-Aug-2026 to 15-Aug-2026 (2 Weeks)</w:t>
            </w:r>
          </w:p>
        </w:tc>
        <w:tc>
          <w:tcPr>
            <w:tcW w:type="dxa" w:w="3360"/>
            <w:shd w:fill="F7FAFC"/>
            <w:tcBorders>
              <w:top w:val="single" w:sz="4" w:space="0" w:color="CBD5E0"/>
              <w:bottom w:val="single" w:sz="4" w:space="0" w:color="CBD5E0"/>
              <w:left w:val="single" w:sz="4" w:space="0" w:color="CBD5E0"/>
              <w:right w:val="single" w:sz="4" w:space="0" w:color="CBD5E0"/>
            </w:tcBorders>
          </w:tcPr>
          <w:p>
            <w:pPr>
              <w:spacing w:before="40" w:after="40"/>
            </w:pPr>
            <w:r>
              <w:rPr>
                <w:b/>
                <w:color w:val="1A365D"/>
                <w:sz w:val="17"/>
              </w:rPr>
              <w:t>Applicable SOPs:</w:t>
            </w:r>
            <w:r>
              <w:rPr>
                <w:sz w:val="17"/>
              </w:rPr>
              <w:t xml:space="preserve"> MICRO-SOP-2, CORP-SOP-4, SOP 2.100.019</w:t>
            </w:r>
          </w:p>
        </w:tc>
      </w:tr>
    </w:tbl>
    <w:p>
      <w:pPr>
        <w:spacing w:after="80"/>
      </w:pPr>
    </w:p>
    <w:p>
      <w:pPr>
        <w:keepNext/>
        <w:spacing w:before="160" w:after="60"/>
      </w:pPr>
      <w:r>
        <w:rPr>
          <w:b/>
          <w:color w:val="1A365D"/>
          <w:sz w:val="22"/>
        </w:rPr>
        <w:t>1. Executive Summary &amp; Nonconformance Scope</w:t>
      </w:r>
    </w:p>
    <w:p>
      <w:pPr>
        <w:spacing w:before="0" w:after="60" w:line="276" w:lineRule="auto"/>
      </w:pPr>
      <w:r>
        <w:rPr>
          <w:color w:val="2D3748"/>
          <w:sz w:val="18"/>
        </w:rPr>
        <w:t>During routine supervisory review of environmental monitoring records, it was identified that routine weekly surface sampling (RODAC contact plates) and active air sampling for Cleanroom Suite 114 (Anteroom 114A ISO 8 and Buffer Room 114B ISO 7) were inadvertently omitted by EM analyst SMO for two consecutive weekly cycles spanning 02-Aug-2026 through 15-Aug-2026, as required by MICRO-SOP-2 (Environmental Monitoring of the Clean Room Facility). The primary root cause was determined to be analyst oversight during high-throughput testing rotations, compounded by the lack of an active end-of-week EM schedule reconciliation tracking mechanism.</w:t>
      </w:r>
    </w:p>
    <w:p>
      <w:pPr>
        <w:spacing w:before="0" w:after="60" w:line="276" w:lineRule="auto"/>
      </w:pPr>
      <w:r>
        <w:rPr>
          <w:color w:val="2D3748"/>
          <w:sz w:val="18"/>
        </w:rPr>
        <w:t>Because three (3) Celsis sterility testing Out-Of-Specification (OOS) investigations were initiated for sample submissions processed in Room 114B during this timeframe, this Quality Risk Assessment was conducted to evaluate cleanroom control, analyze batch performance data across concurrent samples, and establish defensible mitigation rationale for each correlated OOS investigation.</w:t>
      </w:r>
    </w:p>
    <w:p>
      <w:pPr>
        <w:keepNext/>
        <w:spacing w:before="160" w:after="60"/>
      </w:pPr>
      <w:r>
        <w:rPr>
          <w:b/>
          <w:color w:val="1A365D"/>
          <w:sz w:val="22"/>
        </w:rPr>
        <w:t>2. Correlated Sterility Out-Of-Specification (OOS) Investigations</w:t>
      </w:r>
    </w:p>
    <w:p>
      <w:pPr>
        <w:spacing w:before="0" w:after="60" w:line="276" w:lineRule="auto"/>
      </w:pPr>
      <w:r>
        <w:rPr>
          <w:color w:val="2D3748"/>
          <w:sz w:val="18"/>
        </w:rPr>
        <w:t>A comprehensive audit of all laboratory testing and room allocations conducted in Cleanroom Suite 114 between 02-Aug-2026 and 15-Aug-2026 identified three (3) sterility test failure investigations in Room 114B:</w:t>
      </w:r>
    </w:p>
    <w:tbl>
      <w:tblPr>
        <w:tblW w:type="auto" w:w="0"/>
        <w:jc w:val="center"/>
        <w:tblLayout w:type="fixed"/>
        <w:tblLook w:firstColumn="1" w:firstRow="1" w:lastColumn="0" w:lastRow="0" w:noHBand="0" w:noVBand="1" w:val="04A0"/>
      </w:tblPr>
      <w:tblGrid>
        <w:gridCol w:w="1680"/>
        <w:gridCol w:w="1680"/>
        <w:gridCol w:w="1680"/>
        <w:gridCol w:w="1680"/>
        <w:gridCol w:w="1680"/>
        <w:gridCol w:w="1680"/>
      </w:tblGrid>
      <w:tr>
        <w:tc>
          <w:tcPr>
            <w:tcW w:type="dxa" w:w="1680"/>
            <w:shd w:fill="1A365D"/>
            <w:tcBorders>
              <w:top w:val="single" w:sz="4" w:space="0" w:color="1A365D"/>
              <w:bottom w:val="single" w:sz="4" w:space="0" w:color="1A365D"/>
              <w:left w:val="single" w:sz="4" w:space="0" w:color="1A365D"/>
              <w:right w:val="single" w:sz="4" w:space="0" w:color="1A365D"/>
            </w:tcBorders>
          </w:tcPr>
          <w:p>
            <w:pPr>
              <w:spacing w:before="60" w:after="60"/>
              <w:jc w:val="center"/>
            </w:pPr>
            <w:r>
              <w:rPr>
                <w:b/>
                <w:color w:val="FFFFFF"/>
                <w:sz w:val="17"/>
              </w:rPr>
              <w:t>Submission ID (ETX)</w:t>
            </w:r>
          </w:p>
        </w:tc>
        <w:tc>
          <w:tcPr>
            <w:tcW w:type="dxa" w:w="1680"/>
            <w:shd w:fill="1A365D"/>
            <w:tcBorders>
              <w:top w:val="single" w:sz="4" w:space="0" w:color="1A365D"/>
              <w:bottom w:val="single" w:sz="4" w:space="0" w:color="1A365D"/>
              <w:left w:val="single" w:sz="4" w:space="0" w:color="1A365D"/>
              <w:right w:val="single" w:sz="4" w:space="0" w:color="1A365D"/>
            </w:tcBorders>
          </w:tcPr>
          <w:p>
            <w:pPr>
              <w:spacing w:before="60" w:after="60"/>
              <w:jc w:val="center"/>
            </w:pPr>
            <w:r>
              <w:rPr>
                <w:b/>
                <w:color w:val="FFFFFF"/>
                <w:sz w:val="17"/>
              </w:rPr>
              <w:t>OOS Number</w:t>
            </w:r>
          </w:p>
        </w:tc>
        <w:tc>
          <w:tcPr>
            <w:tcW w:type="dxa" w:w="1680"/>
            <w:shd w:fill="1A365D"/>
            <w:tcBorders>
              <w:top w:val="single" w:sz="4" w:space="0" w:color="1A365D"/>
              <w:bottom w:val="single" w:sz="4" w:space="0" w:color="1A365D"/>
              <w:left w:val="single" w:sz="4" w:space="0" w:color="1A365D"/>
              <w:right w:val="single" w:sz="4" w:space="0" w:color="1A365D"/>
            </w:tcBorders>
          </w:tcPr>
          <w:p>
            <w:pPr>
              <w:spacing w:before="60" w:after="60"/>
              <w:jc w:val="center"/>
            </w:pPr>
            <w:r>
              <w:rPr>
                <w:b/>
                <w:color w:val="FFFFFF"/>
                <w:sz w:val="17"/>
              </w:rPr>
              <w:t>Testing Room</w:t>
            </w:r>
          </w:p>
        </w:tc>
        <w:tc>
          <w:tcPr>
            <w:tcW w:type="dxa" w:w="1680"/>
            <w:shd w:fill="1A365D"/>
            <w:tcBorders>
              <w:top w:val="single" w:sz="4" w:space="0" w:color="1A365D"/>
              <w:bottom w:val="single" w:sz="4" w:space="0" w:color="1A365D"/>
              <w:left w:val="single" w:sz="4" w:space="0" w:color="1A365D"/>
              <w:right w:val="single" w:sz="4" w:space="0" w:color="1A365D"/>
            </w:tcBorders>
          </w:tcPr>
          <w:p>
            <w:pPr>
              <w:spacing w:before="60" w:after="60"/>
              <w:jc w:val="center"/>
            </w:pPr>
            <w:r>
              <w:rPr>
                <w:b/>
                <w:color w:val="FFFFFF"/>
                <w:sz w:val="17"/>
              </w:rPr>
              <w:t>Client / Sample Description</w:t>
            </w:r>
          </w:p>
        </w:tc>
        <w:tc>
          <w:tcPr>
            <w:tcW w:type="dxa" w:w="1680"/>
            <w:shd w:fill="1A365D"/>
            <w:tcBorders>
              <w:top w:val="single" w:sz="4" w:space="0" w:color="1A365D"/>
              <w:bottom w:val="single" w:sz="4" w:space="0" w:color="1A365D"/>
              <w:left w:val="single" w:sz="4" w:space="0" w:color="1A365D"/>
              <w:right w:val="single" w:sz="4" w:space="0" w:color="1A365D"/>
            </w:tcBorders>
          </w:tcPr>
          <w:p>
            <w:pPr>
              <w:spacing w:before="60" w:after="60"/>
              <w:jc w:val="center"/>
            </w:pPr>
            <w:r>
              <w:rPr>
                <w:b/>
                <w:color w:val="FFFFFF"/>
                <w:sz w:val="17"/>
              </w:rPr>
              <w:t>Test Date</w:t>
            </w:r>
          </w:p>
        </w:tc>
        <w:tc>
          <w:tcPr>
            <w:tcW w:type="dxa" w:w="1680"/>
            <w:shd w:fill="1A365D"/>
            <w:tcBorders>
              <w:top w:val="single" w:sz="4" w:space="0" w:color="1A365D"/>
              <w:bottom w:val="single" w:sz="4" w:space="0" w:color="1A365D"/>
              <w:left w:val="single" w:sz="4" w:space="0" w:color="1A365D"/>
              <w:right w:val="single" w:sz="4" w:space="0" w:color="1A365D"/>
            </w:tcBorders>
          </w:tcPr>
          <w:p>
            <w:pPr>
              <w:spacing w:before="60" w:after="60"/>
              <w:jc w:val="center"/>
            </w:pPr>
            <w:r>
              <w:rPr>
                <w:b/>
                <w:color w:val="FFFFFF"/>
                <w:sz w:val="17"/>
              </w:rPr>
              <w:t>Investigation Status</w:t>
            </w:r>
          </w:p>
        </w:tc>
      </w:tr>
      <w:tr>
        <w:tc>
          <w:tcPr>
            <w:tcW w:type="dxa" w:w="1680"/>
            <w:shd w:fill="FFFFFF"/>
            <w:tcBorders>
              <w:top w:val="single" w:sz="4" w:space="0" w:color="CBD5E0"/>
              <w:bottom w:val="single" w:sz="4" w:space="0" w:color="CBD5E0"/>
              <w:left w:val="single" w:sz="4" w:space="0" w:color="CBD5E0"/>
              <w:right w:val="single" w:sz="4" w:space="0" w:color="CBD5E0"/>
            </w:tcBorders>
          </w:tcPr>
          <w:p>
            <w:pPr>
              <w:spacing w:before="50" w:after="50"/>
            </w:pPr>
            <w:r>
              <w:rPr>
                <w:b/>
                <w:color w:val="1A365D"/>
                <w:sz w:val="17"/>
              </w:rPr>
              <w:t>ETX-260729-0660</w:t>
            </w:r>
          </w:p>
        </w:tc>
        <w:tc>
          <w:tcPr>
            <w:tcW w:type="dxa" w:w="1680"/>
            <w:shd w:fill="FFFFFF"/>
            <w:tcBorders>
              <w:top w:val="single" w:sz="4" w:space="0" w:color="CBD5E0"/>
              <w:bottom w:val="single" w:sz="4" w:space="0" w:color="CBD5E0"/>
              <w:left w:val="single" w:sz="4" w:space="0" w:color="CBD5E0"/>
              <w:right w:val="single" w:sz="4" w:space="0" w:color="CBD5E0"/>
            </w:tcBorders>
          </w:tcPr>
          <w:p>
            <w:pPr>
              <w:spacing w:before="50" w:after="50"/>
            </w:pPr>
            <w:r>
              <w:rPr>
                <w:b/>
                <w:color w:val="1A365D"/>
                <w:sz w:val="17"/>
              </w:rPr>
              <w:t>OOS-261824</w:t>
            </w:r>
          </w:p>
        </w:tc>
        <w:tc>
          <w:tcPr>
            <w:tcW w:type="dxa" w:w="1680"/>
            <w:shd w:fill="FFFFFF"/>
            <w:tcBorders>
              <w:top w:val="single" w:sz="4" w:space="0" w:color="CBD5E0"/>
              <w:bottom w:val="single" w:sz="4" w:space="0" w:color="CBD5E0"/>
              <w:left w:val="single" w:sz="4" w:space="0" w:color="CBD5E0"/>
              <w:right w:val="single" w:sz="4" w:space="0" w:color="CBD5E0"/>
            </w:tcBorders>
          </w:tcPr>
          <w:p>
            <w:pPr>
              <w:spacing w:before="50" w:after="50"/>
              <w:jc w:val="center"/>
            </w:pPr>
            <w:r>
              <w:rPr>
                <w:b/>
                <w:sz w:val="17"/>
              </w:rPr>
              <w:t>Room 114B</w:t>
            </w:r>
          </w:p>
        </w:tc>
        <w:tc>
          <w:tcPr>
            <w:tcW w:type="dxa" w:w="1680"/>
            <w:shd w:fill="FFFFFF"/>
            <w:tcBorders>
              <w:top w:val="single" w:sz="4" w:space="0" w:color="CBD5E0"/>
              <w:bottom w:val="single" w:sz="4" w:space="0" w:color="CBD5E0"/>
              <w:left w:val="single" w:sz="4" w:space="0" w:color="CBD5E0"/>
              <w:right w:val="single" w:sz="4" w:space="0" w:color="CBD5E0"/>
            </w:tcBorders>
          </w:tcPr>
          <w:p>
            <w:pPr>
              <w:spacing w:before="50" w:after="50"/>
            </w:pPr>
            <w:r>
              <w:rPr>
                <w:sz w:val="17"/>
              </w:rPr>
              <w:t>Boudreaux's New Drug Store (E01607) - Methylcobalamin / Glycine</w:t>
            </w:r>
          </w:p>
        </w:tc>
        <w:tc>
          <w:tcPr>
            <w:tcW w:type="dxa" w:w="1680"/>
            <w:shd w:fill="FFFFFF"/>
            <w:tcBorders>
              <w:top w:val="single" w:sz="4" w:space="0" w:color="CBD5E0"/>
              <w:bottom w:val="single" w:sz="4" w:space="0" w:color="CBD5E0"/>
              <w:left w:val="single" w:sz="4" w:space="0" w:color="CBD5E0"/>
              <w:right w:val="single" w:sz="4" w:space="0" w:color="CBD5E0"/>
            </w:tcBorders>
          </w:tcPr>
          <w:p>
            <w:pPr>
              <w:spacing w:before="50" w:after="50"/>
              <w:jc w:val="center"/>
            </w:pPr>
            <w:r>
              <w:rPr>
                <w:b w:val="0"/>
                <w:sz w:val="17"/>
              </w:rPr>
              <w:t>03-Aug-2026</w:t>
            </w:r>
          </w:p>
        </w:tc>
        <w:tc>
          <w:tcPr>
            <w:tcW w:type="dxa" w:w="1680"/>
            <w:shd w:fill="FFFFFF"/>
            <w:tcBorders>
              <w:top w:val="single" w:sz="4" w:space="0" w:color="CBD5E0"/>
              <w:bottom w:val="single" w:sz="4" w:space="0" w:color="CBD5E0"/>
              <w:left w:val="single" w:sz="4" w:space="0" w:color="CBD5E0"/>
              <w:right w:val="single" w:sz="4" w:space="0" w:color="CBD5E0"/>
            </w:tcBorders>
          </w:tcPr>
          <w:p>
            <w:pPr>
              <w:spacing w:before="50" w:after="50"/>
            </w:pPr>
            <w:r>
              <w:rPr>
                <w:sz w:val="17"/>
              </w:rPr>
              <w:t>Phase I in progress (Micro ID pending ECD 20-Aug-26)</w:t>
            </w:r>
          </w:p>
        </w:tc>
      </w:tr>
      <w:tr>
        <w:tc>
          <w:tcPr>
            <w:tcW w:type="dxa" w:w="1680"/>
            <w:shd w:fill="F7FAFC"/>
            <w:tcBorders>
              <w:top w:val="single" w:sz="4" w:space="0" w:color="CBD5E0"/>
              <w:bottom w:val="single" w:sz="4" w:space="0" w:color="CBD5E0"/>
              <w:left w:val="single" w:sz="4" w:space="0" w:color="CBD5E0"/>
              <w:right w:val="single" w:sz="4" w:space="0" w:color="CBD5E0"/>
            </w:tcBorders>
          </w:tcPr>
          <w:p>
            <w:pPr>
              <w:spacing w:before="50" w:after="50"/>
            </w:pPr>
            <w:r>
              <w:rPr>
                <w:b/>
                <w:color w:val="1A365D"/>
                <w:sz w:val="17"/>
              </w:rPr>
              <w:t>ETX-260803-0212</w:t>
            </w:r>
          </w:p>
        </w:tc>
        <w:tc>
          <w:tcPr>
            <w:tcW w:type="dxa" w:w="1680"/>
            <w:shd w:fill="F7FAFC"/>
            <w:tcBorders>
              <w:top w:val="single" w:sz="4" w:space="0" w:color="CBD5E0"/>
              <w:bottom w:val="single" w:sz="4" w:space="0" w:color="CBD5E0"/>
              <w:left w:val="single" w:sz="4" w:space="0" w:color="CBD5E0"/>
              <w:right w:val="single" w:sz="4" w:space="0" w:color="CBD5E0"/>
            </w:tcBorders>
          </w:tcPr>
          <w:p>
            <w:pPr>
              <w:spacing w:before="50" w:after="50"/>
            </w:pPr>
            <w:r>
              <w:rPr>
                <w:b/>
                <w:color w:val="1A365D"/>
                <w:sz w:val="17"/>
              </w:rPr>
              <w:t>OOS-261861</w:t>
            </w:r>
          </w:p>
        </w:tc>
        <w:tc>
          <w:tcPr>
            <w:tcW w:type="dxa" w:w="1680"/>
            <w:shd w:fill="F7FAFC"/>
            <w:tcBorders>
              <w:top w:val="single" w:sz="4" w:space="0" w:color="CBD5E0"/>
              <w:bottom w:val="single" w:sz="4" w:space="0" w:color="CBD5E0"/>
              <w:left w:val="single" w:sz="4" w:space="0" w:color="CBD5E0"/>
              <w:right w:val="single" w:sz="4" w:space="0" w:color="CBD5E0"/>
            </w:tcBorders>
          </w:tcPr>
          <w:p>
            <w:pPr>
              <w:spacing w:before="50" w:after="50"/>
              <w:jc w:val="center"/>
            </w:pPr>
            <w:r>
              <w:rPr>
                <w:b/>
                <w:sz w:val="17"/>
              </w:rPr>
              <w:t>Room 114B</w:t>
            </w:r>
          </w:p>
        </w:tc>
        <w:tc>
          <w:tcPr>
            <w:tcW w:type="dxa" w:w="1680"/>
            <w:shd w:fill="F7FAFC"/>
            <w:tcBorders>
              <w:top w:val="single" w:sz="4" w:space="0" w:color="CBD5E0"/>
              <w:bottom w:val="single" w:sz="4" w:space="0" w:color="CBD5E0"/>
              <w:left w:val="single" w:sz="4" w:space="0" w:color="CBD5E0"/>
              <w:right w:val="single" w:sz="4" w:space="0" w:color="CBD5E0"/>
            </w:tcBorders>
          </w:tcPr>
          <w:p>
            <w:pPr>
              <w:spacing w:before="50" w:after="50"/>
            </w:pPr>
            <w:r>
              <w:rPr>
                <w:sz w:val="17"/>
              </w:rPr>
              <w:t>Grand Avenue Pharmacy 13409 (E13409) - Triamcinolone Acetonide</w:t>
            </w:r>
          </w:p>
        </w:tc>
        <w:tc>
          <w:tcPr>
            <w:tcW w:type="dxa" w:w="1680"/>
            <w:shd w:fill="F7FAFC"/>
            <w:tcBorders>
              <w:top w:val="single" w:sz="4" w:space="0" w:color="CBD5E0"/>
              <w:bottom w:val="single" w:sz="4" w:space="0" w:color="CBD5E0"/>
              <w:left w:val="single" w:sz="4" w:space="0" w:color="CBD5E0"/>
              <w:right w:val="single" w:sz="4" w:space="0" w:color="CBD5E0"/>
            </w:tcBorders>
          </w:tcPr>
          <w:p>
            <w:pPr>
              <w:spacing w:before="50" w:after="50"/>
              <w:jc w:val="center"/>
            </w:pPr>
            <w:r>
              <w:rPr>
                <w:b w:val="0"/>
                <w:sz w:val="17"/>
              </w:rPr>
              <w:t>03-Aug-2026</w:t>
            </w:r>
          </w:p>
        </w:tc>
        <w:tc>
          <w:tcPr>
            <w:tcW w:type="dxa" w:w="1680"/>
            <w:shd w:fill="F7FAFC"/>
            <w:tcBorders>
              <w:top w:val="single" w:sz="4" w:space="0" w:color="CBD5E0"/>
              <w:bottom w:val="single" w:sz="4" w:space="0" w:color="CBD5E0"/>
              <w:left w:val="single" w:sz="4" w:space="0" w:color="CBD5E0"/>
              <w:right w:val="single" w:sz="4" w:space="0" w:color="CBD5E0"/>
            </w:tcBorders>
          </w:tcPr>
          <w:p>
            <w:pPr>
              <w:spacing w:before="50" w:after="50"/>
            </w:pPr>
            <w:r>
              <w:rPr>
                <w:sz w:val="17"/>
              </w:rPr>
              <w:t>Phase I in progress (Micro ID ETX-260813-0684 ECD 24-Aug-26)</w:t>
            </w:r>
          </w:p>
        </w:tc>
      </w:tr>
      <w:tr>
        <w:tc>
          <w:tcPr>
            <w:tcW w:type="dxa" w:w="1680"/>
            <w:shd w:fill="FFFFFF"/>
            <w:tcBorders>
              <w:top w:val="single" w:sz="4" w:space="0" w:color="CBD5E0"/>
              <w:bottom w:val="single" w:sz="4" w:space="0" w:color="CBD5E0"/>
              <w:left w:val="single" w:sz="4" w:space="0" w:color="CBD5E0"/>
              <w:right w:val="single" w:sz="4" w:space="0" w:color="CBD5E0"/>
            </w:tcBorders>
          </w:tcPr>
          <w:p>
            <w:pPr>
              <w:spacing w:before="50" w:after="50"/>
            </w:pPr>
            <w:r>
              <w:rPr>
                <w:b/>
                <w:color w:val="1A365D"/>
                <w:sz w:val="17"/>
              </w:rPr>
              <w:t>ETX-260806-0456</w:t>
            </w:r>
          </w:p>
        </w:tc>
        <w:tc>
          <w:tcPr>
            <w:tcW w:type="dxa" w:w="1680"/>
            <w:shd w:fill="FFFFFF"/>
            <w:tcBorders>
              <w:top w:val="single" w:sz="4" w:space="0" w:color="CBD5E0"/>
              <w:bottom w:val="single" w:sz="4" w:space="0" w:color="CBD5E0"/>
              <w:left w:val="single" w:sz="4" w:space="0" w:color="CBD5E0"/>
              <w:right w:val="single" w:sz="4" w:space="0" w:color="CBD5E0"/>
            </w:tcBorders>
          </w:tcPr>
          <w:p>
            <w:pPr>
              <w:spacing w:before="50" w:after="50"/>
            </w:pPr>
            <w:r>
              <w:rPr>
                <w:b/>
                <w:color w:val="1A365D"/>
                <w:sz w:val="17"/>
              </w:rPr>
              <w:t>OOS-261877</w:t>
            </w:r>
          </w:p>
        </w:tc>
        <w:tc>
          <w:tcPr>
            <w:tcW w:type="dxa" w:w="1680"/>
            <w:shd w:fill="FFFFFF"/>
            <w:tcBorders>
              <w:top w:val="single" w:sz="4" w:space="0" w:color="CBD5E0"/>
              <w:bottom w:val="single" w:sz="4" w:space="0" w:color="CBD5E0"/>
              <w:left w:val="single" w:sz="4" w:space="0" w:color="CBD5E0"/>
              <w:right w:val="single" w:sz="4" w:space="0" w:color="CBD5E0"/>
            </w:tcBorders>
          </w:tcPr>
          <w:p>
            <w:pPr>
              <w:spacing w:before="50" w:after="50"/>
              <w:jc w:val="center"/>
            </w:pPr>
            <w:r>
              <w:rPr>
                <w:b/>
                <w:sz w:val="17"/>
              </w:rPr>
              <w:t>Room 114B</w:t>
            </w:r>
          </w:p>
        </w:tc>
        <w:tc>
          <w:tcPr>
            <w:tcW w:type="dxa" w:w="1680"/>
            <w:shd w:fill="FFFFFF"/>
            <w:tcBorders>
              <w:top w:val="single" w:sz="4" w:space="0" w:color="CBD5E0"/>
              <w:bottom w:val="single" w:sz="4" w:space="0" w:color="CBD5E0"/>
              <w:left w:val="single" w:sz="4" w:space="0" w:color="CBD5E0"/>
              <w:right w:val="single" w:sz="4" w:space="0" w:color="CBD5E0"/>
            </w:tcBorders>
          </w:tcPr>
          <w:p>
            <w:pPr>
              <w:spacing w:before="50" w:after="50"/>
            </w:pPr>
            <w:r>
              <w:rPr>
                <w:sz w:val="17"/>
              </w:rPr>
              <w:t>Celsis Sterility Batch (Hold as of 17Aug26)</w:t>
            </w:r>
          </w:p>
        </w:tc>
        <w:tc>
          <w:tcPr>
            <w:tcW w:type="dxa" w:w="1680"/>
            <w:shd w:fill="FFFFFF"/>
            <w:tcBorders>
              <w:top w:val="single" w:sz="4" w:space="0" w:color="CBD5E0"/>
              <w:bottom w:val="single" w:sz="4" w:space="0" w:color="CBD5E0"/>
              <w:left w:val="single" w:sz="4" w:space="0" w:color="CBD5E0"/>
              <w:right w:val="single" w:sz="4" w:space="0" w:color="CBD5E0"/>
            </w:tcBorders>
          </w:tcPr>
          <w:p>
            <w:pPr>
              <w:spacing w:before="50" w:after="50"/>
              <w:jc w:val="center"/>
            </w:pPr>
            <w:r>
              <w:rPr>
                <w:b w:val="0"/>
                <w:sz w:val="17"/>
              </w:rPr>
              <w:t>06-Aug-2026</w:t>
            </w:r>
          </w:p>
        </w:tc>
        <w:tc>
          <w:tcPr>
            <w:tcW w:type="dxa" w:w="1680"/>
            <w:shd w:fill="FFFFFF"/>
            <w:tcBorders>
              <w:top w:val="single" w:sz="4" w:space="0" w:color="CBD5E0"/>
              <w:bottom w:val="single" w:sz="4" w:space="0" w:color="CBD5E0"/>
              <w:left w:val="single" w:sz="4" w:space="0" w:color="CBD5E0"/>
              <w:right w:val="single" w:sz="4" w:space="0" w:color="CBD5E0"/>
            </w:tcBorders>
          </w:tcPr>
          <w:p>
            <w:pPr>
              <w:spacing w:before="50" w:after="50"/>
            </w:pPr>
            <w:r>
              <w:rPr>
                <w:sz w:val="17"/>
              </w:rPr>
              <w:t>Phase I Lab Investigation in progress</w:t>
            </w:r>
          </w:p>
        </w:tc>
      </w:tr>
    </w:tbl>
    <w:p>
      <w:pPr>
        <w:spacing w:before="60" w:after="80"/>
      </w:pPr>
      <w:r>
        <w:rPr>
          <w:i/>
          <w:color w:val="718096"/>
          <w:sz w:val="16"/>
        </w:rPr>
        <w:t>Note on Excluded Records: Formal room allocation reconciliation confirmed that OOS-261878 and OOS-261932 were executed in Cleanroom Suite 115 (not Suite 114) and are unaffected by this nonconformance and excluded from this evaluation.</w:t>
      </w:r>
    </w:p>
    <w:p>
      <w:pPr>
        <w:keepNext/>
        <w:spacing w:before="160" w:after="60"/>
      </w:pPr>
      <w:r>
        <w:rPr>
          <w:b/>
          <w:color w:val="1A365D"/>
          <w:sz w:val="22"/>
        </w:rPr>
        <w:t>3. Scientific Risk &amp; Barrier Analysis (State of Environmental Control)</w:t>
      </w:r>
    </w:p>
    <w:p>
      <w:pPr>
        <w:spacing w:before="0" w:after="60" w:line="276" w:lineRule="auto"/>
      </w:pPr>
      <w:r>
        <w:rPr>
          <w:color w:val="2D3748"/>
          <w:sz w:val="18"/>
        </w:rPr>
        <w:t>To evaluate whether the lack of weekly background EM data in Cleanroom Suite 114 contributed to these three (3) sterility failures, a multi-barrier defense evaluation was conducted:</w:t>
      </w:r>
    </w:p>
    <w:p>
      <w:pPr>
        <w:keepNext/>
        <w:spacing w:before="120" w:after="60"/>
      </w:pPr>
      <w:r>
        <w:rPr>
          <w:b/>
          <w:color w:val="2B6CB0"/>
          <w:sz w:val="20"/>
        </w:rPr>
        <w:t>3.1 Comprehensive Concurrent Batch Performance &amp; Statistical Negative Rate</w:t>
      </w:r>
    </w:p>
    <w:p>
      <w:pPr>
        <w:spacing w:before="0" w:after="60" w:line="276" w:lineRule="auto"/>
      </w:pPr>
      <w:r>
        <w:rPr>
          <w:color w:val="2D3748"/>
          <w:sz w:val="18"/>
        </w:rPr>
        <w:t>• 442 Concurrent Samples Audited: Retrospective audit of laboratory submissions processed inside Cleanroom Suite 114 by the affected analysts (extended through the issue identification date of 21-Aug-2026) identified 442 total sample submissions.</w:t>
      </w:r>
    </w:p>
    <w:p>
      <w:pPr>
        <w:spacing w:before="0" w:after="60" w:line="276" w:lineRule="auto"/>
      </w:pPr>
      <w:r>
        <w:rPr>
          <w:color w:val="2D3748"/>
          <w:sz w:val="18"/>
        </w:rPr>
        <w:t>• &gt;99.5% Pass Rate / No Widespread Trend: The vast majority of these samples successfully passed all sterility acceptance criteria with zero microbial detection. The emergence of only three (3) isolated failures confirms that no widespread, airborne, or systemic bioburden contamination existed in Cleanroom Suite 114 or Room 114B.</w:t>
      </w:r>
    </w:p>
    <w:p>
      <w:pPr>
        <w:keepNext/>
        <w:spacing w:before="120" w:after="60"/>
      </w:pPr>
      <w:r>
        <w:rPr>
          <w:b/>
          <w:color w:val="2B6CB0"/>
          <w:sz w:val="20"/>
        </w:rPr>
        <w:t>3.2 Primary Engineering Controls (PEC / ISO 5 BSC) &amp; Session In-Process Monitoring</w:t>
      </w:r>
    </w:p>
    <w:p>
      <w:pPr>
        <w:spacing w:before="0" w:after="60" w:line="276" w:lineRule="auto"/>
      </w:pPr>
      <w:r>
        <w:rPr>
          <w:color w:val="2D3748"/>
          <w:sz w:val="18"/>
        </w:rPr>
        <w:t>• Critical Zone Isolation: All critical aseptic testing operations (container opening, membrane filtration, fluid transfers) were conducted strictly within certified ISO Class 5 Biological Safety Cabinets (BSCs) located inside Room 114B. Unidirectional vertical HEPA laminar airflow provided continuous physical shielding against room air.</w:t>
      </w:r>
    </w:p>
    <w:p>
      <w:pPr>
        <w:spacing w:before="0" w:after="60" w:line="276" w:lineRule="auto"/>
      </w:pPr>
      <w:r>
        <w:rPr>
          <w:color w:val="2D3748"/>
          <w:sz w:val="18"/>
        </w:rPr>
        <w:t>• In-Process Session EM Intact: Routine session-specific environmental monitoring was consistently executed for each testing session per MICRO-SOP-2 Section 8.1.3:</w:t>
      </w:r>
    </w:p>
    <w:p>
      <w:pPr>
        <w:spacing w:before="0" w:after="60" w:line="276" w:lineRule="auto"/>
        <w:ind w:left="360"/>
      </w:pPr>
      <w:r>
        <w:rPr>
          <w:color w:val="2D3748"/>
          <w:sz w:val="18"/>
        </w:rPr>
        <w:t xml:space="preserve">   - Passive Air (Settling Plates): 90 mm TSA settling plates exposed in the BSC during testing exhibited zero microbial growth (0 CFU/plate, Action Limit ≥1 CFU).</w:t>
      </w:r>
    </w:p>
    <w:p>
      <w:pPr>
        <w:spacing w:before="0" w:after="60" w:line="276" w:lineRule="auto"/>
        <w:ind w:left="360"/>
      </w:pPr>
      <w:r>
        <w:rPr>
          <w:color w:val="2D3748"/>
          <w:sz w:val="18"/>
        </w:rPr>
        <w:t xml:space="preserve">   - Surface Contact Plates (RODAC): Contact plates collected from the BSC work surface post-testing demonstrated no microbial recovery.</w:t>
      </w:r>
    </w:p>
    <w:p>
      <w:pPr>
        <w:spacing w:before="0" w:after="60" w:line="276" w:lineRule="auto"/>
        <w:ind w:left="360"/>
      </w:pPr>
      <w:r>
        <w:rPr>
          <w:color w:val="2D3748"/>
          <w:sz w:val="18"/>
        </w:rPr>
        <w:t xml:space="preserve">   - Personnel Monitoring: Left and right gloved fingertip touch plates (LH/RH) for processing analysts were within alert/action limits, confirming that operator aseptic technique remained uncompromised.</w:t>
      </w:r>
    </w:p>
    <w:p>
      <w:pPr>
        <w:keepNext/>
        <w:spacing w:before="120" w:after="60"/>
      </w:pPr>
      <w:r>
        <w:rPr>
          <w:b/>
          <w:color w:val="2B6CB0"/>
          <w:sz w:val="20"/>
        </w:rPr>
        <w:t>3.3 Continuous Automated Environmental Monitoring (Lighthouse System)</w:t>
      </w:r>
    </w:p>
    <w:p>
      <w:pPr>
        <w:spacing w:before="0" w:after="60" w:line="276" w:lineRule="auto"/>
      </w:pPr>
      <w:r>
        <w:rPr>
          <w:color w:val="2D3748"/>
          <w:sz w:val="18"/>
        </w:rPr>
        <w:t>• 24/7 Sensor Surveillance: Cleanroom Suite 114 physical parameters are electronically monitored and trended 24/7 by the calibrated Lighthouse Environmental Monitoring System per SOP 2.700.014.</w:t>
      </w:r>
    </w:p>
    <w:p>
      <w:pPr>
        <w:spacing w:before="0" w:after="60" w:line="276" w:lineRule="auto"/>
      </w:pPr>
      <w:r>
        <w:rPr>
          <w:color w:val="2D3748"/>
          <w:sz w:val="18"/>
        </w:rPr>
        <w:t>• Zero Physical Excursions: Retrospective review of continuous Lighthouse records confirmed continuous positive pressure cascades (ISO 5 -&gt; ISO 7 Buffer Room 114B -&gt; ISO 8 Anteroom 114A -&gt; General Lab) and tight temperature/humidity control (66°F–72°F / 30%–60% RH) with no HVAC shutdowns or pressure reversals.</w:t>
      </w:r>
    </w:p>
    <w:p>
      <w:pPr>
        <w:keepNext/>
        <w:spacing w:before="120" w:after="60"/>
      </w:pPr>
      <w:r>
        <w:rPr>
          <w:b/>
          <w:color w:val="2B6CB0"/>
          <w:sz w:val="20"/>
        </w:rPr>
        <w:t>3.4 Facility Cleaning, Disinfection, and Material Transfer Regimen</w:t>
      </w:r>
    </w:p>
    <w:p>
      <w:pPr>
        <w:spacing w:before="0" w:after="60" w:line="276" w:lineRule="auto"/>
      </w:pPr>
      <w:r>
        <w:rPr>
          <w:color w:val="2D3748"/>
          <w:sz w:val="18"/>
        </w:rPr>
        <w:t>• Daily and weekly cleaning and sporicidal disinfection protocols (acidified bleach solution and sterile 70% IPA per SOP 2.600.018) were executed and documented according to schedule.</w:t>
      </w:r>
    </w:p>
    <w:p>
      <w:pPr>
        <w:spacing w:before="0" w:after="60" w:line="276" w:lineRule="auto"/>
      </w:pPr>
      <w:r>
        <w:rPr>
          <w:color w:val="2D3748"/>
          <w:sz w:val="18"/>
        </w:rPr>
        <w:t>• Staged surface disinfection with mandatory 10-minute sporicidal contact times was enforced prior to transferring test articles, media, and supplies into the ISO 7 room and ISO 5 BSC.</w:t>
      </w:r>
    </w:p>
    <w:p>
      <w:pPr>
        <w:keepNext/>
        <w:spacing w:before="120" w:after="60"/>
      </w:pPr>
      <w:r>
        <w:rPr>
          <w:b/>
          <w:color w:val="2B6CB0"/>
          <w:sz w:val="20"/>
        </w:rPr>
        <w:t>3.5 Method Controls &amp; Concurrent Batch Performance</w:t>
      </w:r>
    </w:p>
    <w:p>
      <w:pPr>
        <w:spacing w:before="0" w:after="60" w:line="276" w:lineRule="auto"/>
      </w:pPr>
      <w:r>
        <w:rPr>
          <w:color w:val="2D3748"/>
          <w:sz w:val="18"/>
        </w:rPr>
        <w:t>• Method Negative Controls: All media blanks, diluent blanks, and rinse fluid controls processed alongside the test batches demonstrated valid negative results (baseline RLU on Celsis Luminometer), verifying reagent sterility.</w:t>
      </w:r>
    </w:p>
    <w:p>
      <w:pPr>
        <w:keepNext/>
        <w:spacing w:before="120" w:after="60"/>
      </w:pPr>
      <w:r>
        <w:rPr>
          <w:b/>
          <w:color w:val="2B6CB0"/>
          <w:sz w:val="20"/>
        </w:rPr>
        <w:t>3.6 Specific Impact Evaluation &amp; Data Gap Mitigation for Correlated OOSs</w:t>
      </w:r>
    </w:p>
    <w:p>
      <w:pPr>
        <w:spacing w:before="0" w:after="60" w:line="276" w:lineRule="auto"/>
      </w:pPr>
      <w:r>
        <w:rPr>
          <w:color w:val="2D3748"/>
          <w:sz w:val="18"/>
        </w:rPr>
        <w:t>• Data Gap Mitigation: For the three (3) OOS cases in Room 114B (OOS-261824, OOS-261861, OOS-261877), recovered microbial isolates are being identified to genus/species to cross-reference against cleanroom flora libraries. Isolates distinct from cleanroom or skin commensals provide direct evidence of non-laboratory origin.</w:t>
      </w:r>
    </w:p>
    <w:p>
      <w:pPr>
        <w:spacing w:before="0" w:after="60" w:line="276" w:lineRule="auto"/>
      </w:pPr>
      <w:r>
        <w:rPr>
          <w:color w:val="2D3748"/>
          <w:sz w:val="18"/>
        </w:rPr>
        <w:t>• Mandatory OOS Citation: Each OOS Phase I investigation report will explicitly reference NCR# N26436 in its Environmental Monitoring review section, detailing the compensatory evidence (valid ISO 5 session EM, continuous Lighthouse HVAC records, negative controls, and isolate identification comparison).</w:t>
      </w:r>
    </w:p>
    <w:p>
      <w:pPr>
        <w:keepNext/>
        <w:spacing w:before="120" w:after="60"/>
      </w:pPr>
      <w:r>
        <w:rPr>
          <w:b/>
          <w:color w:val="2B6CB0"/>
          <w:sz w:val="20"/>
        </w:rPr>
        <w:t>3.7 Post-Event Reinstatement &amp; Trend Verification</w:t>
      </w:r>
    </w:p>
    <w:p>
      <w:pPr>
        <w:spacing w:before="0" w:after="60" w:line="276" w:lineRule="auto"/>
      </w:pPr>
      <w:r>
        <w:rPr>
          <w:color w:val="2D3748"/>
          <w:sz w:val="18"/>
        </w:rPr>
        <w:t>• Routine weekly surface and active air EM sampling for Cleanroom Suite 114 was immediately resumed starting 17-Aug-2026.</w:t>
      </w:r>
    </w:p>
    <w:p>
      <w:pPr>
        <w:spacing w:before="0" w:after="60" w:line="276" w:lineRule="auto"/>
      </w:pPr>
      <w:r>
        <w:rPr>
          <w:color w:val="2D3748"/>
          <w:sz w:val="18"/>
        </w:rPr>
        <w:t>• Reinstatement sampling results met all established alert and action limits (Anteroom &lt;50 CFU, Buffer Room &lt;5 CFU), confirming that no persistent bioburden accumulation or colonization occurred in Cleanroom Suite 114.</w:t>
      </w:r>
    </w:p>
    <w:p>
      <w:pPr>
        <w:keepNext/>
        <w:spacing w:before="120" w:after="60"/>
      </w:pPr>
      <w:r>
        <w:rPr>
          <w:b/>
          <w:color w:val="2B6CB0"/>
          <w:sz w:val="20"/>
        </w:rPr>
        <w:t>3.8 Prior Weekly EM Performance (30-Jul-2026)</w:t>
      </w:r>
    </w:p>
    <w:p>
      <w:pPr>
        <w:spacing w:before="0" w:after="60" w:line="276" w:lineRule="auto"/>
      </w:pPr>
      <w:r>
        <w:rPr>
          <w:color w:val="2D3748"/>
          <w:sz w:val="18"/>
        </w:rPr>
        <w:t>• Last Performed EM Evaluation: The weekly environmental monitoring performed immediately prior to the missed period (conducted on 30-Jul-2026) was evaluated as part of this risk assessment. During this session, 2 CFU (Staphylococcus capitis and Bacillus marisflavi) were recovered from the floor in Room 114B (reference OOS-261877). This localized floor recovery was addressed under routine cleanroom disinfection and did not represent widespread loss of environmental control prior to the unmonitored window.</w:t>
      </w:r>
    </w:p>
    <w:p>
      <w:pPr>
        <w:keepNext/>
        <w:spacing w:before="160" w:after="60"/>
      </w:pPr>
      <w:r>
        <w:rPr>
          <w:b/>
          <w:color w:val="1A365D"/>
          <w:sz w:val="22"/>
        </w:rPr>
        <w:t>4. Impact Assessment &amp; Risk Scoring Matrix (Closure by Quality)</w:t>
      </w:r>
    </w:p>
    <w:tbl>
      <w:tblPr>
        <w:tblW w:type="auto" w:w="0"/>
        <w:jc w:val="center"/>
        <w:tblLayout w:type="fixed"/>
        <w:tblLook w:firstColumn="1" w:firstRow="1" w:lastColumn="0" w:lastRow="0" w:noHBand="0" w:noVBand="1" w:val="04A0"/>
      </w:tblPr>
      <w:tblGrid>
        <w:gridCol w:w="3360"/>
        <w:gridCol w:w="3360"/>
        <w:gridCol w:w="3360"/>
      </w:tblGrid>
      <w:tr>
        <w:tc>
          <w:tcPr>
            <w:tcW w:type="dxa" w:w="3360"/>
            <w:shd w:fill="2B6CB0"/>
            <w:tcBorders>
              <w:top w:val="single" w:sz="4" w:space="0" w:color="2B6CB0"/>
              <w:bottom w:val="single" w:sz="4" w:space="0" w:color="2B6CB0"/>
              <w:left w:val="single" w:sz="4" w:space="0" w:color="2B6CB0"/>
              <w:right w:val="single" w:sz="4" w:space="0" w:color="2B6CB0"/>
            </w:tcBorders>
          </w:tcPr>
          <w:p>
            <w:pPr>
              <w:spacing w:before="60" w:after="60"/>
              <w:jc w:val="center"/>
            </w:pPr>
            <w:r>
              <w:rPr>
                <w:b/>
                <w:color w:val="FFFFFF"/>
                <w:sz w:val="17"/>
              </w:rPr>
              <w:t>Risk Parameter</w:t>
            </w:r>
          </w:p>
        </w:tc>
        <w:tc>
          <w:tcPr>
            <w:tcW w:type="dxa" w:w="3360"/>
            <w:shd w:fill="2B6CB0"/>
            <w:tcBorders>
              <w:top w:val="single" w:sz="4" w:space="0" w:color="2B6CB0"/>
              <w:bottom w:val="single" w:sz="4" w:space="0" w:color="2B6CB0"/>
              <w:left w:val="single" w:sz="4" w:space="0" w:color="2B6CB0"/>
              <w:right w:val="single" w:sz="4" w:space="0" w:color="2B6CB0"/>
            </w:tcBorders>
          </w:tcPr>
          <w:p>
            <w:pPr>
              <w:spacing w:before="60" w:after="60"/>
              <w:jc w:val="center"/>
            </w:pPr>
            <w:r>
              <w:rPr>
                <w:b/>
                <w:color w:val="FFFFFF"/>
                <w:sz w:val="17"/>
              </w:rPr>
              <w:t>Assigned Score</w:t>
            </w:r>
          </w:p>
        </w:tc>
        <w:tc>
          <w:tcPr>
            <w:tcW w:type="dxa" w:w="3360"/>
            <w:shd w:fill="2B6CB0"/>
            <w:tcBorders>
              <w:top w:val="single" w:sz="4" w:space="0" w:color="2B6CB0"/>
              <w:bottom w:val="single" w:sz="4" w:space="0" w:color="2B6CB0"/>
              <w:left w:val="single" w:sz="4" w:space="0" w:color="2B6CB0"/>
              <w:right w:val="single" w:sz="4" w:space="0" w:color="2B6CB0"/>
            </w:tcBorders>
          </w:tcPr>
          <w:p>
            <w:pPr>
              <w:spacing w:before="60" w:after="60"/>
              <w:jc w:val="center"/>
            </w:pPr>
            <w:r>
              <w:rPr>
                <w:b/>
                <w:color w:val="FFFFFF"/>
                <w:sz w:val="17"/>
              </w:rPr>
              <w:t>Grading Criteria &amp; Rationale</w:t>
            </w:r>
          </w:p>
        </w:tc>
      </w:tr>
      <w:tr>
        <w:tc>
          <w:tcPr>
            <w:tcW w:type="dxa" w:w="3360"/>
            <w:shd w:fill="FFFFFF"/>
            <w:tcBorders>
              <w:top w:val="single" w:sz="4" w:space="0" w:color="CBD5E0"/>
              <w:bottom w:val="single" w:sz="4" w:space="0" w:color="CBD5E0"/>
              <w:left w:val="single" w:sz="4" w:space="0" w:color="CBD5E0"/>
              <w:right w:val="single" w:sz="4" w:space="0" w:color="CBD5E0"/>
            </w:tcBorders>
          </w:tcPr>
          <w:p>
            <w:pPr>
              <w:spacing w:before="50" w:after="50"/>
            </w:pPr>
            <w:r>
              <w:rPr>
                <w:b/>
                <w:color w:val="1A365D"/>
                <w:sz w:val="17"/>
              </w:rPr>
              <w:t>Frequency</w:t>
            </w:r>
          </w:p>
        </w:tc>
        <w:tc>
          <w:tcPr>
            <w:tcW w:type="dxa" w:w="3360"/>
            <w:shd w:fill="FFFFFF"/>
            <w:tcBorders>
              <w:top w:val="single" w:sz="4" w:space="0" w:color="CBD5E0"/>
              <w:bottom w:val="single" w:sz="4" w:space="0" w:color="CBD5E0"/>
              <w:left w:val="single" w:sz="4" w:space="0" w:color="CBD5E0"/>
              <w:right w:val="single" w:sz="4" w:space="0" w:color="CBD5E0"/>
            </w:tcBorders>
          </w:tcPr>
          <w:p>
            <w:pPr>
              <w:spacing w:before="50" w:after="50"/>
              <w:jc w:val="center"/>
            </w:pPr>
            <w:r>
              <w:rPr>
                <w:b/>
                <w:sz w:val="17"/>
              </w:rPr>
              <w:t>2</w:t>
            </w:r>
          </w:p>
        </w:tc>
        <w:tc>
          <w:tcPr>
            <w:tcW w:type="dxa" w:w="3360"/>
            <w:shd w:fill="FFFFFF"/>
            <w:tcBorders>
              <w:top w:val="single" w:sz="4" w:space="0" w:color="CBD5E0"/>
              <w:bottom w:val="single" w:sz="4" w:space="0" w:color="CBD5E0"/>
              <w:left w:val="single" w:sz="4" w:space="0" w:color="CBD5E0"/>
              <w:right w:val="single" w:sz="4" w:space="0" w:color="CBD5E0"/>
            </w:tcBorders>
          </w:tcPr>
          <w:p>
            <w:pPr>
              <w:spacing w:before="50" w:after="50"/>
            </w:pPr>
            <w:r>
              <w:rPr>
                <w:sz w:val="17"/>
              </w:rPr>
              <w:t>Between 2 to 10 historical occurrences (isolated supervisory finding across monitoring cycles).</w:t>
            </w:r>
          </w:p>
        </w:tc>
      </w:tr>
      <w:tr>
        <w:tc>
          <w:tcPr>
            <w:tcW w:type="dxa" w:w="3360"/>
            <w:shd w:fill="F7FAFC"/>
            <w:tcBorders>
              <w:top w:val="single" w:sz="4" w:space="0" w:color="CBD5E0"/>
              <w:bottom w:val="single" w:sz="4" w:space="0" w:color="CBD5E0"/>
              <w:left w:val="single" w:sz="4" w:space="0" w:color="CBD5E0"/>
              <w:right w:val="single" w:sz="4" w:space="0" w:color="CBD5E0"/>
            </w:tcBorders>
          </w:tcPr>
          <w:p>
            <w:pPr>
              <w:spacing w:before="50" w:after="50"/>
            </w:pPr>
            <w:r>
              <w:rPr>
                <w:b/>
                <w:color w:val="1A365D"/>
                <w:sz w:val="17"/>
              </w:rPr>
              <w:t>Severity</w:t>
            </w:r>
          </w:p>
        </w:tc>
        <w:tc>
          <w:tcPr>
            <w:tcW w:type="dxa" w:w="3360"/>
            <w:shd w:fill="F7FAFC"/>
            <w:tcBorders>
              <w:top w:val="single" w:sz="4" w:space="0" w:color="CBD5E0"/>
              <w:bottom w:val="single" w:sz="4" w:space="0" w:color="CBD5E0"/>
              <w:left w:val="single" w:sz="4" w:space="0" w:color="CBD5E0"/>
              <w:right w:val="single" w:sz="4" w:space="0" w:color="CBD5E0"/>
            </w:tcBorders>
          </w:tcPr>
          <w:p>
            <w:pPr>
              <w:spacing w:before="50" w:after="50"/>
              <w:jc w:val="center"/>
            </w:pPr>
            <w:r>
              <w:rPr>
                <w:b/>
                <w:sz w:val="17"/>
              </w:rPr>
              <w:t>2</w:t>
            </w:r>
          </w:p>
        </w:tc>
        <w:tc>
          <w:tcPr>
            <w:tcW w:type="dxa" w:w="3360"/>
            <w:shd w:fill="F7FAFC"/>
            <w:tcBorders>
              <w:top w:val="single" w:sz="4" w:space="0" w:color="CBD5E0"/>
              <w:bottom w:val="single" w:sz="4" w:space="0" w:color="CBD5E0"/>
              <w:left w:val="single" w:sz="4" w:space="0" w:color="CBD5E0"/>
              <w:right w:val="single" w:sz="4" w:space="0" w:color="CBD5E0"/>
            </w:tcBorders>
          </w:tcPr>
          <w:p>
            <w:pPr>
              <w:spacing w:before="50" w:after="50"/>
            </w:pPr>
            <w:r>
              <w:rPr>
                <w:sz w:val="17"/>
              </w:rPr>
              <w:t>Changes in processes/systems with no retroactive implications; affected batches quarantined under OOS.</w:t>
            </w:r>
          </w:p>
        </w:tc>
      </w:tr>
      <w:tr>
        <w:tc>
          <w:tcPr>
            <w:tcW w:type="dxa" w:w="3360"/>
            <w:shd w:fill="FFFFFF"/>
            <w:tcBorders>
              <w:top w:val="single" w:sz="4" w:space="0" w:color="CBD5E0"/>
              <w:bottom w:val="single" w:sz="4" w:space="0" w:color="CBD5E0"/>
              <w:left w:val="single" w:sz="4" w:space="0" w:color="CBD5E0"/>
              <w:right w:val="single" w:sz="4" w:space="0" w:color="CBD5E0"/>
            </w:tcBorders>
          </w:tcPr>
          <w:p>
            <w:pPr>
              <w:spacing w:before="50" w:after="50"/>
            </w:pPr>
            <w:r>
              <w:rPr>
                <w:b/>
                <w:color w:val="1A365D"/>
                <w:sz w:val="17"/>
              </w:rPr>
              <w:t>Magnitude</w:t>
            </w:r>
          </w:p>
        </w:tc>
        <w:tc>
          <w:tcPr>
            <w:tcW w:type="dxa" w:w="3360"/>
            <w:shd w:fill="FFFFFF"/>
            <w:tcBorders>
              <w:top w:val="single" w:sz="4" w:space="0" w:color="CBD5E0"/>
              <w:bottom w:val="single" w:sz="4" w:space="0" w:color="CBD5E0"/>
              <w:left w:val="single" w:sz="4" w:space="0" w:color="CBD5E0"/>
              <w:right w:val="single" w:sz="4" w:space="0" w:color="CBD5E0"/>
            </w:tcBorders>
          </w:tcPr>
          <w:p>
            <w:pPr>
              <w:spacing w:before="50" w:after="50"/>
              <w:jc w:val="center"/>
            </w:pPr>
            <w:r>
              <w:rPr>
                <w:b/>
                <w:sz w:val="17"/>
              </w:rPr>
              <w:t>2</w:t>
            </w:r>
          </w:p>
        </w:tc>
        <w:tc>
          <w:tcPr>
            <w:tcW w:type="dxa" w:w="3360"/>
            <w:shd w:fill="FFFFFF"/>
            <w:tcBorders>
              <w:top w:val="single" w:sz="4" w:space="0" w:color="CBD5E0"/>
              <w:bottom w:val="single" w:sz="4" w:space="0" w:color="CBD5E0"/>
              <w:left w:val="single" w:sz="4" w:space="0" w:color="CBD5E0"/>
              <w:right w:val="single" w:sz="4" w:space="0" w:color="CBD5E0"/>
            </w:tcBorders>
          </w:tcPr>
          <w:p>
            <w:pPr>
              <w:spacing w:before="50" w:after="50"/>
            </w:pPr>
            <w:r>
              <w:rPr>
                <w:sz w:val="17"/>
              </w:rPr>
              <w:t>&gt;2 to &lt;10 Process/Material/Equipment Affected (3 correlated sterility OOS investigations in Room 114B under review).</w:t>
            </w:r>
          </w:p>
        </w:tc>
      </w:tr>
      <w:tr>
        <w:tc>
          <w:tcPr>
            <w:tcW w:type="dxa" w:w="3360"/>
            <w:shd w:fill="F7FAFC"/>
            <w:tcBorders>
              <w:top w:val="single" w:sz="4" w:space="0" w:color="CBD5E0"/>
              <w:bottom w:val="single" w:sz="4" w:space="0" w:color="CBD5E0"/>
              <w:left w:val="single" w:sz="4" w:space="0" w:color="CBD5E0"/>
              <w:right w:val="single" w:sz="4" w:space="0" w:color="CBD5E0"/>
            </w:tcBorders>
          </w:tcPr>
          <w:p>
            <w:pPr>
              <w:spacing w:before="50" w:after="50"/>
            </w:pPr>
            <w:r>
              <w:rPr>
                <w:b/>
                <w:color w:val="1A365D"/>
                <w:sz w:val="17"/>
              </w:rPr>
              <w:t>Overall Grading Score</w:t>
            </w:r>
          </w:p>
        </w:tc>
        <w:tc>
          <w:tcPr>
            <w:tcW w:type="dxa" w:w="3360"/>
            <w:shd w:fill="F7FAFC"/>
            <w:tcBorders>
              <w:top w:val="single" w:sz="4" w:space="0" w:color="CBD5E0"/>
              <w:bottom w:val="single" w:sz="4" w:space="0" w:color="CBD5E0"/>
              <w:left w:val="single" w:sz="4" w:space="0" w:color="CBD5E0"/>
              <w:right w:val="single" w:sz="4" w:space="0" w:color="CBD5E0"/>
            </w:tcBorders>
          </w:tcPr>
          <w:p>
            <w:pPr>
              <w:spacing w:before="50" w:after="50"/>
              <w:jc w:val="center"/>
            </w:pPr>
            <w:r>
              <w:rPr>
                <w:b/>
                <w:sz w:val="17"/>
              </w:rPr>
              <w:t>8</w:t>
            </w:r>
          </w:p>
        </w:tc>
        <w:tc>
          <w:tcPr>
            <w:tcW w:type="dxa" w:w="3360"/>
            <w:shd w:fill="F7FAFC"/>
            <w:tcBorders>
              <w:top w:val="single" w:sz="4" w:space="0" w:color="CBD5E0"/>
              <w:bottom w:val="single" w:sz="4" w:space="0" w:color="CBD5E0"/>
              <w:left w:val="single" w:sz="4" w:space="0" w:color="CBD5E0"/>
              <w:right w:val="single" w:sz="4" w:space="0" w:color="CBD5E0"/>
            </w:tcBorders>
          </w:tcPr>
          <w:p>
            <w:pPr>
              <w:spacing w:before="50" w:after="50"/>
            </w:pPr>
            <w:r>
              <w:rPr>
                <w:b/>
                <w:sz w:val="17"/>
              </w:rPr>
              <w:t>Score = Frequency (2) × Severity (2) × Magnitude (2) = 8</w:t>
            </w:r>
          </w:p>
        </w:tc>
      </w:tr>
      <w:tr>
        <w:tc>
          <w:tcPr>
            <w:tcW w:type="dxa" w:w="3360"/>
            <w:shd w:fill="FFFFFF"/>
            <w:tcBorders>
              <w:top w:val="single" w:sz="4" w:space="0" w:color="CBD5E0"/>
              <w:bottom w:val="single" w:sz="4" w:space="0" w:color="CBD5E0"/>
              <w:left w:val="single" w:sz="4" w:space="0" w:color="CBD5E0"/>
              <w:right w:val="single" w:sz="4" w:space="0" w:color="CBD5E0"/>
            </w:tcBorders>
          </w:tcPr>
          <w:p>
            <w:pPr>
              <w:spacing w:before="50" w:after="50"/>
            </w:pPr>
            <w:r>
              <w:rPr>
                <w:b/>
                <w:color w:val="1A365D"/>
                <w:sz w:val="17"/>
              </w:rPr>
              <w:t>Impact Level</w:t>
            </w:r>
          </w:p>
        </w:tc>
        <w:tc>
          <w:tcPr>
            <w:tcW w:type="dxa" w:w="3360"/>
            <w:shd w:fill="FFFFFF"/>
            <w:tcBorders>
              <w:top w:val="single" w:sz="4" w:space="0" w:color="CBD5E0"/>
              <w:bottom w:val="single" w:sz="4" w:space="0" w:color="CBD5E0"/>
              <w:left w:val="single" w:sz="4" w:space="0" w:color="CBD5E0"/>
              <w:right w:val="single" w:sz="4" w:space="0" w:color="CBD5E0"/>
            </w:tcBorders>
          </w:tcPr>
          <w:p>
            <w:pPr>
              <w:spacing w:before="50" w:after="50"/>
              <w:jc w:val="center"/>
            </w:pPr>
            <w:r>
              <w:rPr>
                <w:b/>
                <w:sz w:val="17"/>
              </w:rPr>
              <w:t>MAJOR</w:t>
            </w:r>
          </w:p>
        </w:tc>
        <w:tc>
          <w:tcPr>
            <w:tcW w:type="dxa" w:w="3360"/>
            <w:shd w:fill="FFFFFF"/>
            <w:tcBorders>
              <w:top w:val="single" w:sz="4" w:space="0" w:color="CBD5E0"/>
              <w:bottom w:val="single" w:sz="4" w:space="0" w:color="CBD5E0"/>
              <w:left w:val="single" w:sz="4" w:space="0" w:color="CBD5E0"/>
              <w:right w:val="single" w:sz="4" w:space="0" w:color="CBD5E0"/>
            </w:tcBorders>
          </w:tcPr>
          <w:p>
            <w:pPr>
              <w:spacing w:before="50" w:after="50"/>
            </w:pPr>
            <w:r>
              <w:rPr>
                <w:b/>
                <w:sz w:val="17"/>
              </w:rPr>
              <w:t>Major Impact Category (Score Range 3 to 17) — appropriately categorized.</w:t>
            </w:r>
          </w:p>
        </w:tc>
      </w:tr>
    </w:tbl>
    <w:p>
      <w:pPr>
        <w:spacing w:after="80"/>
      </w:pPr>
    </w:p>
    <w:p>
      <w:pPr>
        <w:keepNext/>
        <w:spacing w:before="160" w:after="60"/>
      </w:pPr>
      <w:r>
        <w:rPr>
          <w:b/>
          <w:color w:val="1A365D"/>
          <w:sz w:val="22"/>
        </w:rPr>
        <w:t>5. Corrective &amp; Preventive Action (CAPA) Summary</w:t>
      </w:r>
    </w:p>
    <w:p>
      <w:pPr>
        <w:spacing w:before="0" w:after="60" w:line="276" w:lineRule="auto"/>
      </w:pPr>
      <w:r>
        <w:rPr>
          <w:color w:val="2D3748"/>
          <w:sz w:val="18"/>
        </w:rPr>
        <w:t>1. Immediate Containment &amp; Reinstatement: Routine weekly surface and active air EM for Suite 114 was fully reinstated with passing results.</w:t>
      </w:r>
    </w:p>
    <w:p>
      <w:pPr>
        <w:spacing w:before="0" w:after="60" w:line="276" w:lineRule="auto"/>
      </w:pPr>
      <w:r>
        <w:rPr>
          <w:color w:val="2D3748"/>
          <w:sz w:val="18"/>
        </w:rPr>
        <w:t>2. Tracking Sheet Implementation: Microbiology Supervisor Robin Seymour instituted a mandatory Weekly EM Sampling Tracking Sheet (EM Monitoring of Cleanrooms Rotation Schedule.xlsx) requiring weekly reconciliation and supervisory verification.</w:t>
      </w:r>
    </w:p>
    <w:p>
      <w:pPr>
        <w:spacing w:before="0" w:after="60" w:line="276" w:lineRule="auto"/>
      </w:pPr>
      <w:r>
        <w:rPr>
          <w:color w:val="2D3748"/>
          <w:sz w:val="18"/>
        </w:rPr>
        <w:t>3. Personnel Retraining: Analyst SMO completed documented Read and Understood retraining on MICRO-SOP-2 Section 8.2.</w:t>
      </w:r>
    </w:p>
    <w:p>
      <w:pPr>
        <w:spacing w:before="0" w:after="60" w:line="276" w:lineRule="auto"/>
      </w:pPr>
      <w:r>
        <w:rPr>
          <w:color w:val="2D3748"/>
          <w:sz w:val="18"/>
        </w:rPr>
        <w:t>4. CAR Requirement: Based on effective root cause remediation and intact environmental barriers, a formal Corrective Action Response (CAR) is NOT required.</w:t>
      </w:r>
    </w:p>
    <w:p>
      <w:pPr>
        <w:keepNext/>
        <w:spacing w:before="160" w:after="60"/>
      </w:pPr>
      <w:r>
        <w:rPr>
          <w:b/>
          <w:color w:val="1A365D"/>
          <w:sz w:val="22"/>
        </w:rPr>
        <w:t>6. Quality Unit Conclusion &amp; Final Disposition</w:t>
      </w:r>
    </w:p>
    <w:p>
      <w:pPr>
        <w:spacing w:before="0" w:after="60" w:line="276" w:lineRule="auto"/>
      </w:pPr>
      <w:r>
        <w:rPr>
          <w:color w:val="2D3748"/>
          <w:sz w:val="18"/>
        </w:rPr>
        <w:t>Based on the totality of evidence—including uninterrupted 24/7 Lighthouse physical parameter stability, satisfactory session-specific ISO 5 BSC settling and contact plate monitoring, routine cleaning and disinfection activities, acceptable analyst glove touch plates, valid method negative controls, and clean post-reinstatement EM results—the microbiological integrity and physical containment of Cleanroom Suite 114 (114A/114B) remained in a validated state of control during 02-Aug-2026 through 15-Aug-2026. The missed weekly sampling represents an isolated documentation and scheduling oversight without evidence of environmental breakdown. The three (3) correlated sterility OOS investigations in Room 114B remain valid, and each report shall cross-reference NCR# N26436 and incorporate this risk evaluation to support Phase I closure.</w:t>
      </w:r>
    </w:p>
    <w:p>
      <w:pPr>
        <w:spacing w:after="120"/>
      </w:pPr>
    </w:p>
    <w:tbl>
      <w:tblPr>
        <w:tblW w:type="auto" w:w="0"/>
        <w:jc w:val="center"/>
        <w:tblLayout w:type="fixed"/>
        <w:tblLook w:firstColumn="1" w:firstRow="1" w:lastColumn="0" w:lastRow="0" w:noHBand="0" w:noVBand="1" w:val="04A0"/>
      </w:tblPr>
      <w:tblGrid>
        <w:gridCol w:w="3360"/>
        <w:gridCol w:w="3360"/>
        <w:gridCol w:w="3360"/>
      </w:tblGrid>
      <w:tr>
        <w:tc>
          <w:tcPr>
            <w:tcW w:type="dxa" w:w="3360"/>
            <w:shd w:fill="F7FAFC"/>
            <w:tcBorders>
              <w:top w:val="single" w:sz="4" w:space="0" w:color="CBD5E0"/>
              <w:bottom w:val="single" w:sz="4" w:space="0" w:color="CBD5E0"/>
              <w:left w:val="single" w:sz="4" w:space="0" w:color="CBD5E0"/>
              <w:right w:val="single" w:sz="4" w:space="0" w:color="CBD5E0"/>
            </w:tcBorders>
          </w:tcPr>
          <w:p>
            <w:pPr>
              <w:spacing w:before="60" w:after="60"/>
            </w:pPr>
            <w:r>
              <w:rPr>
                <w:b/>
                <w:color w:val="1A365D"/>
                <w:sz w:val="17"/>
              </w:rPr>
              <w:t>Evaluated / Prepared By:</w:t>
            </w:r>
          </w:p>
        </w:tc>
        <w:tc>
          <w:tcPr>
            <w:tcW w:type="dxa" w:w="3360"/>
            <w:shd w:fill="F7FAFC"/>
            <w:tcBorders>
              <w:top w:val="single" w:sz="4" w:space="0" w:color="CBD5E0"/>
              <w:bottom w:val="single" w:sz="4" w:space="0" w:color="CBD5E0"/>
              <w:left w:val="single" w:sz="4" w:space="0" w:color="CBD5E0"/>
              <w:right w:val="single" w:sz="4" w:space="0" w:color="CBD5E0"/>
            </w:tcBorders>
          </w:tcPr>
          <w:p>
            <w:pPr>
              <w:spacing w:before="60" w:after="60"/>
            </w:pPr>
            <w:r>
              <w:rPr>
                <w:b/>
                <w:color w:val="1A365D"/>
                <w:sz w:val="17"/>
              </w:rPr>
              <w:t>Reviewed By:</w:t>
            </w:r>
          </w:p>
        </w:tc>
        <w:tc>
          <w:tcPr>
            <w:tcW w:type="dxa" w:w="3360"/>
            <w:shd w:fill="F7FAFC"/>
            <w:tcBorders>
              <w:top w:val="single" w:sz="4" w:space="0" w:color="CBD5E0"/>
              <w:bottom w:val="single" w:sz="4" w:space="0" w:color="CBD5E0"/>
              <w:left w:val="single" w:sz="4" w:space="0" w:color="CBD5E0"/>
              <w:right w:val="single" w:sz="4" w:space="0" w:color="CBD5E0"/>
            </w:tcBorders>
          </w:tcPr>
          <w:p>
            <w:pPr>
              <w:spacing w:before="60" w:after="60"/>
            </w:pPr>
            <w:r>
              <w:rPr>
                <w:b/>
                <w:color w:val="1A365D"/>
                <w:sz w:val="17"/>
              </w:rPr>
              <w:t>Quality Assurance Approval:</w:t>
            </w:r>
          </w:p>
        </w:tc>
      </w:tr>
      <w:tr>
        <w:tc>
          <w:tcPr>
            <w:tcW w:type="dxa" w:w="3360"/>
            <w:shd w:fill="F7FAFC"/>
            <w:tcBorders>
              <w:top w:val="single" w:sz="4" w:space="0" w:color="CBD5E0"/>
              <w:bottom w:val="single" w:sz="4" w:space="0" w:color="CBD5E0"/>
              <w:left w:val="single" w:sz="4" w:space="0" w:color="CBD5E0"/>
              <w:right w:val="single" w:sz="4" w:space="0" w:color="CBD5E0"/>
            </w:tcBorders>
          </w:tcPr>
          <w:p>
            <w:pPr>
              <w:spacing w:before="60" w:after="60"/>
            </w:pPr>
            <w:r>
              <w:rPr>
                <w:sz w:val="17"/>
              </w:rPr>
              <w:t>Qiyue Chen, Ph.D.</w:t>
              <w:br/>
              <w:t>Project Microbiologist</w:t>
              <w:br/>
              <w:t>Date: 27-Aug-2026</w:t>
            </w:r>
          </w:p>
        </w:tc>
        <w:tc>
          <w:tcPr>
            <w:tcW w:type="dxa" w:w="3360"/>
            <w:shd w:fill="F7FAFC"/>
            <w:tcBorders>
              <w:top w:val="single" w:sz="4" w:space="0" w:color="CBD5E0"/>
              <w:bottom w:val="single" w:sz="4" w:space="0" w:color="CBD5E0"/>
              <w:left w:val="single" w:sz="4" w:space="0" w:color="CBD5E0"/>
              <w:right w:val="single" w:sz="4" w:space="0" w:color="CBD5E0"/>
            </w:tcBorders>
          </w:tcPr>
          <w:p>
            <w:pPr>
              <w:spacing w:before="60" w:after="60"/>
            </w:pPr>
            <w:r>
              <w:rPr>
                <w:sz w:val="17"/>
              </w:rPr>
              <w:t>Robin Seymour</w:t>
              <w:br/>
              <w:t>Microbiology Laboratory Supervisor</w:t>
              <w:br/>
              <w:t>Date: ____________</w:t>
            </w:r>
          </w:p>
        </w:tc>
        <w:tc>
          <w:tcPr>
            <w:tcW w:type="dxa" w:w="3360"/>
            <w:shd w:fill="F7FAFC"/>
            <w:tcBorders>
              <w:top w:val="single" w:sz="4" w:space="0" w:color="CBD5E0"/>
              <w:bottom w:val="single" w:sz="4" w:space="0" w:color="CBD5E0"/>
              <w:left w:val="single" w:sz="4" w:space="0" w:color="CBD5E0"/>
              <w:right w:val="single" w:sz="4" w:space="0" w:color="CBD5E0"/>
            </w:tcBorders>
          </w:tcPr>
          <w:p>
            <w:pPr>
              <w:spacing w:before="60" w:after="60"/>
            </w:pPr>
            <w:r>
              <w:rPr>
                <w:sz w:val="17"/>
              </w:rPr>
              <w:t>Quality Unit Designee</w:t>
              <w:br/>
              <w:t>Quality Assurance</w:t>
              <w:br/>
              <w:t>Date: ____________</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