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1: Information for ETX-260624-0251 (BUD-T90) under investigation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Processing Analyst</w:t>
            </w:r>
          </w:p>
        </w:tc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Reading Analyst</w:t>
            </w:r>
          </w:p>
        </w:tc>
        <w:tc>
          <w:tcPr>
            <w:tcW w:type="dxa" w:w="180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Sample ID</w:t>
            </w:r>
          </w:p>
        </w:tc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Related Microbial ID</w:t>
            </w:r>
          </w:p>
        </w:tc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Media with microbial growth</w:t>
            </w:r>
          </w:p>
        </w:tc>
        <w:tc>
          <w:tcPr>
            <w:tcW w:type="dxa" w:w="208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Microbial ID</w:t>
            </w:r>
          </w:p>
        </w:tc>
      </w:tr>
      <w:tr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Guanchen Li</w:t>
            </w:r>
          </w:p>
        </w:tc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Andrew Carrillo</w:t>
            </w:r>
          </w:p>
        </w:tc>
        <w:tc>
          <w:tcPr>
            <w:tcW w:type="dxa" w:w="180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hyperlink r:id="rId9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ETX-260624-0251 (BUD-T90)</w:t>
              </w:r>
            </w:hyperlink>
          </w:p>
        </w:tc>
        <w:tc>
          <w:tcPr>
            <w:tcW w:type="dxa" w:w="158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hyperlink r:id="rId10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ETX-261012-0367</w:t>
              </w:r>
            </w:hyperlink>
          </w:p>
        </w:tc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 x 200mL TSB (Original and Subculture Bottles)</w:t>
            </w:r>
          </w:p>
        </w:tc>
        <w:tc>
          <w:tcPr>
            <w:tcW w:type="dxa" w:w="208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Bacillus megaterium</w:t>
            </w:r>
            <w:r>
              <w:rPr>
                <w:rFonts w:ascii="Times New Roman" w:hAnsi="Times New Roman"/>
                <w:sz w:val="14"/>
              </w:rPr>
              <w:br/>
            </w:r>
            <w:r>
              <w:rPr>
                <w:rFonts w:ascii="Times New Roman" w:hAnsi="Times New Roman"/>
                <w:i w:val="0"/>
                <w:sz w:val="14"/>
              </w:rPr>
              <w:t>(Gram (+) rods)</w:t>
            </w:r>
          </w:p>
        </w:tc>
      </w:tr>
    </w:tbl>
    <w:p>
      <w:pPr>
        <w:spacing w:before="80" w:after="0"/>
      </w:pPr>
    </w:p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2: Environmental Monitoring from Testing Performed on 23Sep26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Environmental</w:t>
              <w:br/>
              <w:t>Monitoring (EM)</w:t>
              <w:br/>
              <w:t>Sampling Site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Frequency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</w:t>
              <w:br/>
              <w:t>(DDMMMYY)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Analyst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Day /Week(s)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Observation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EM Plate ETX Number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Microbial ID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Notes</w:t>
            </w:r>
          </w:p>
        </w:tc>
      </w:tr>
      <w:tr>
        <w:tc>
          <w:tcPr>
            <w:tcW w:type="dxa" w:w="2160"/>
            <w:shd w:fill="D9D9D9"/>
            <w:tcMar>
              <w:top w:w="20" w:type="dxa"/>
              <w:bottom w:w="20" w:type="dxa"/>
              <w:left w:w="40" w:type="dxa"/>
              <w:right w:w="40" w:type="dxa"/>
            </w:tcMar>
            <w:h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14"/>
              </w:rPr>
              <w:t>Personnel EM</w:t>
            </w:r>
          </w:p>
        </w:tc>
        <w:tc>
          <w:tcPr>
            <w:tcW w:type="dxa" w:w="792"/>
            <w:hMerge w:val="continue"/>
          </w:tcPr>
          <w:p/>
        </w:tc>
        <w:tc>
          <w:tcPr>
            <w:tcW w:type="dxa" w:w="864"/>
            <w:hMerge w:val="continue"/>
          </w:tcPr>
          <w:p/>
        </w:tc>
        <w:tc>
          <w:tcPr>
            <w:tcW w:type="dxa" w:w="720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944"/>
            <w:hMerge w:val="continue"/>
          </w:tcPr>
          <w:p/>
        </w:tc>
        <w:tc>
          <w:tcPr>
            <w:tcW w:type="dxa" w:w="648"/>
            <w:hMerge w:val="continue"/>
          </w:tcPr>
          <w:p/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shd w:fill="D9D9D9"/>
            <w:tcMar>
              <w:top w:w="20" w:type="dxa"/>
              <w:bottom w:w="20" w:type="dxa"/>
              <w:left w:w="40" w:type="dxa"/>
              <w:right w:w="40" w:type="dxa"/>
            </w:tcMar>
            <w:h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14"/>
              </w:rPr>
              <w:t>Biological Safety Cabinet EM for E001314</w:t>
            </w:r>
          </w:p>
        </w:tc>
        <w:tc>
          <w:tcPr>
            <w:tcW w:type="dxa" w:w="792"/>
            <w:hMerge w:val="continue"/>
          </w:tcPr>
          <w:p/>
        </w:tc>
        <w:tc>
          <w:tcPr>
            <w:tcW w:type="dxa" w:w="864"/>
            <w:hMerge w:val="continue"/>
          </w:tcPr>
          <w:p/>
        </w:tc>
        <w:tc>
          <w:tcPr>
            <w:tcW w:type="dxa" w:w="720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944"/>
            <w:hMerge w:val="continue"/>
          </w:tcPr>
          <w:p/>
        </w:tc>
        <w:tc>
          <w:tcPr>
            <w:tcW w:type="dxa" w:w="648"/>
            <w:hMerge w:val="continue"/>
          </w:tcPr>
          <w:p/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shd w:fill="D9D9D9"/>
            <w:tcMar>
              <w:top w:w="20" w:type="dxa"/>
              <w:bottom w:w="20" w:type="dxa"/>
              <w:left w:w="40" w:type="dxa"/>
              <w:right w:w="40" w:type="dxa"/>
            </w:tcMar>
            <w:h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14"/>
              </w:rPr>
              <w:t>Weekly Active Air Sampling of Cleanroom Suite 115 (E001737) with Processing BSC</w:t>
            </w:r>
          </w:p>
        </w:tc>
        <w:tc>
          <w:tcPr>
            <w:tcW w:type="dxa" w:w="792"/>
            <w:hMerge w:val="continue"/>
          </w:tcPr>
          <w:p/>
        </w:tc>
        <w:tc>
          <w:tcPr>
            <w:tcW w:type="dxa" w:w="864"/>
            <w:hMerge w:val="continue"/>
          </w:tcPr>
          <w:p/>
        </w:tc>
        <w:tc>
          <w:tcPr>
            <w:tcW w:type="dxa" w:w="720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944"/>
            <w:hMerge w:val="continue"/>
          </w:tcPr>
          <w:p/>
        </w:tc>
        <w:tc>
          <w:tcPr>
            <w:tcW w:type="dxa" w:w="648"/>
            <w:hMerge w:val="continue"/>
          </w:tcPr>
          <w:p/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Active Air Sampling of Cleanrooms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6 CFUs (ISO 8 115)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hyperlink r:id="rId11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ETX-261001-0625</w:t>
              </w:r>
            </w:hyperlink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Micrococcus luteus</w:t>
            </w:r>
            <w:r>
              <w:rPr>
                <w:rFonts w:ascii="Times New Roman" w:hAnsi="Times New Roman"/>
                <w:i w:val="0"/>
                <w:sz w:val="14"/>
              </w:rPr>
              <w:t xml:space="preserve"> (4 CFUs)</w:t>
              <w:br/>
              <w:br/>
            </w:r>
            <w:r>
              <w:rPr>
                <w:rFonts w:ascii="Times New Roman" w:hAnsi="Times New Roman"/>
                <w:i/>
                <w:sz w:val="14"/>
              </w:rPr>
              <w:t>Kocuria indica</w:t>
            </w:r>
            <w:r>
              <w:rPr>
                <w:rFonts w:ascii="Times New Roman" w:hAnsi="Times New Roman"/>
                <w:i w:val="0"/>
                <w:sz w:val="14"/>
              </w:rPr>
              <w:t xml:space="preserve"> and </w:t>
            </w:r>
            <w:r>
              <w:rPr>
                <w:rFonts w:ascii="Times New Roman" w:hAnsi="Times New Roman"/>
                <w:i/>
                <w:sz w:val="14"/>
              </w:rPr>
              <w:t>Kocuria rhizophila</w:t>
            </w:r>
            <w:r>
              <w:rPr>
                <w:rFonts w:ascii="Times New Roman" w:hAnsi="Times New Roman"/>
                <w:i w:val="0"/>
                <w:sz w:val="14"/>
              </w:rPr>
              <w:t xml:space="preserve"> (1 CFU)</w:t>
              <w:br/>
              <w:br/>
            </w:r>
            <w:r>
              <w:rPr>
                <w:rFonts w:ascii="Times New Roman" w:hAnsi="Times New Roman"/>
                <w:i w:val="0"/>
                <w:sz w:val="14"/>
              </w:rPr>
              <w:t>Pending FunITS (1 CFU, Hyphae)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2160"/>
            <w:shd w:fill="D9D9D9"/>
            <w:tcMar>
              <w:top w:w="20" w:type="dxa"/>
              <w:bottom w:w="20" w:type="dxa"/>
              <w:left w:w="40" w:type="dxa"/>
              <w:right w:w="40" w:type="dxa"/>
            </w:tcMar>
            <w:h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14"/>
              </w:rPr>
              <w:t>Weekly Surface Sampling of Cleanroom Suite 115 (E001737) with Processing BSC</w:t>
            </w:r>
          </w:p>
        </w:tc>
        <w:tc>
          <w:tcPr>
            <w:tcW w:type="dxa" w:w="792"/>
            <w:hMerge w:val="continue"/>
          </w:tcPr>
          <w:p/>
        </w:tc>
        <w:tc>
          <w:tcPr>
            <w:tcW w:type="dxa" w:w="864"/>
            <w:hMerge w:val="continue"/>
          </w:tcPr>
          <w:p/>
        </w:tc>
        <w:tc>
          <w:tcPr>
            <w:tcW w:type="dxa" w:w="720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224"/>
            <w:hMerge w:val="continue"/>
          </w:tcPr>
          <w:p/>
        </w:tc>
        <w:tc>
          <w:tcPr>
            <w:tcW w:type="dxa" w:w="1944"/>
            <w:hMerge w:val="continue"/>
          </w:tcPr>
          <w:p/>
        </w:tc>
        <w:tc>
          <w:tcPr>
            <w:tcW w:type="dxa" w:w="648"/>
            <w:hMerge w:val="continue"/>
          </w:tcPr>
          <w:p/>
        </w:tc>
      </w:tr>
      <w:tr>
        <w:tc>
          <w:tcPr>
            <w:tcW w:type="dxa" w:w="216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Cleanrooms</w:t>
            </w:r>
          </w:p>
        </w:tc>
        <w:tc>
          <w:tcPr>
            <w:tcW w:type="dxa" w:w="792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86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944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648"/>
            <w:vAlign w:val="center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trax.eagleanalytical.com/Submission/Details/nIsCJb3y7xy7m1FK8luTrg__" TargetMode="External"/><Relationship Id="rId10" Type="http://schemas.openxmlformats.org/officeDocument/2006/relationships/hyperlink" Target="https://etrax.eagleanalytical.com/Submission/Details/e6Jo3DyLpUEd3QnYm5Uttw__" TargetMode="External"/><Relationship Id="rId11" Type="http://schemas.openxmlformats.org/officeDocument/2006/relationships/hyperlink" Target="https://etrax.eagleanalytical.com/Submission/Details/yp3RLi-9BGnGhzxnYnqk4Q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