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Times New Roman" w:hAnsi="Times New Roman"/>
          <w:b/>
          <w:sz w:val="19"/>
        </w:rPr>
        <w:t>Table 1: Information for ETX-260804-0335 under investigation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  <w:gridCol w:w="1824"/>
      </w:tblGrid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Processing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Reading Analyst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Sample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Related Microbial ID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Media with microbial growth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Microbial ID</w:t>
            </w:r>
          </w:p>
        </w:tc>
      </w:tr>
      <w:tr>
        <w:trPr>
          <w:trHeight w:val="220" w:hRule="atLeast"/>
        </w:trPr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[Processing Analyst]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Qiyue Chen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9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ETX-260804-0335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hyperlink r:id="rId10" w:history="1">
              <w:r>
                <w:rPr>
                  <w:rStyle w:val="Hyperlink"/>
                  <w:rFonts w:ascii="Times New Roman" w:hAnsi="Times New Roman"/>
                  <w:color w:val="467886"/>
                  <w:sz w:val="15"/>
                  <w:szCs w:val="15"/>
                  <w:u w:val="single"/>
                </w:rPr>
                <w:t>ETX-260904-0331</w:t>
              </w:r>
            </w:hyperlink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1 x 100mL TSB bottle</w:t>
            </w:r>
          </w:p>
        </w:tc>
        <w:tc>
          <w:tcPr>
            <w:tcW w:type="dxa" w:w="1824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5"/>
              </w:rPr>
              <w:t>Pending</w:t>
            </w:r>
          </w:p>
        </w:tc>
      </w:tr>
    </w:tbl>
    <w:p>
      <w:pPr>
        <w:spacing w:before="160" w:after="60"/>
      </w:pPr>
      <w:r>
        <w:rPr>
          <w:rFonts w:ascii="Times New Roman" w:hAnsi="Times New Roman"/>
          <w:b/>
          <w:sz w:val="19"/>
        </w:rPr>
        <w:t>Table 2: Environmental Monitoring for Analyst and Cleanroom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16"/>
        <w:gridCol w:w="1216"/>
        <w:gridCol w:w="1216"/>
        <w:gridCol w:w="1216"/>
        <w:gridCol w:w="1216"/>
        <w:gridCol w:w="1216"/>
        <w:gridCol w:w="1216"/>
        <w:gridCol w:w="1216"/>
        <w:gridCol w:w="1216"/>
      </w:tblGrid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 Monitoring</w:t>
              <w:br/>
              <w:t>(EM) Sampling Site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Frequency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Date</w:t>
              <w:br/>
              <w:t>(DDMMM</w:t>
              <w:br/>
              <w:t>YYYY)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Analyst</w:t>
              <w:br/>
              <w:t>(Initials)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Day /Week(s)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Observation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Environmental</w:t>
              <w:br/>
              <w:t>Monitoring Plate</w:t>
              <w:br/>
              <w:t>ETX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Microbial ID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4"/>
              </w:rPr>
              <w:t>Notes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Personnel EM Bracketing 25 Aug 2026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24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25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 and Right Touch)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26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Biological Safety Cabinet EM Bracketing Biological Safety Cabinet (BSC) E001316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24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25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26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24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25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26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TBD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Weekly Active Air Sampling of Cleanroom - CR114 (E001736)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25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4 CFU in ISO 8 Room 114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ETX-260901-0112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3 Gram (+) cocci,</w:t>
              <w:br/>
              <w:t>1 Hyphae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rPr>
          <w:trHeight w:val="220" w:hRule="atLeast"/>
        </w:trPr>
        <w:tc>
          <w:tcPr>
            <w:tcW w:type="dxa" w:w="10944"/>
            <w:gridSpan w:val="9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15"/>
              </w:rPr>
              <w:t>Surface Sampling of Anteroom and Cleanroom – CR114 (E001736)</w:t>
            </w:r>
          </w:p>
        </w:tc>
      </w:tr>
      <w:tr>
        <w:trPr>
          <w:trHeight w:val="220" w:hRule="atLeast"/>
        </w:trPr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25 Aug 2026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N/A</w:t>
            </w:r>
          </w:p>
        </w:tc>
        <w:tc>
          <w:tcPr>
            <w:tcW w:type="dxa" w:w="1216"/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ETX-260804-0335" TargetMode="External"/><Relationship Id="rId10" Type="http://schemas.openxmlformats.org/officeDocument/2006/relationships/hyperlink" Target="https://etrax.eagleanalytical.com/Submission/Details?id=qa0T20auUnDSY-CQtpZQp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