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xml:space="preserve">Alex Saravia, Abayomi Odugbesi</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 xml:space="preserve">(Written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04Sep26, 15Sep26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xml:space="preserve">10Sep26, 21Sep26</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xml:space="preserve">10Sep26, 21Sep26</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 xml:space="preserve">:</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xml:space="preserve">ETX-260902-0505, ETX-260914-0470</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xml:space="preserve">Solyn LLC (E75000)</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xml:space="preserve">Alex Saravia, Andrew Carrillo</w:t>
            </w:r>
            <w:r w:rsidRPr="00BA7279">
              <w:rPr>
                <w:rFonts w:ascii="Times New Roman" w:hAnsi="Times New Roman"/>
                <w:bCs/>
                <w:sz w:val="22"/>
                <w:szCs w:val="22"/>
              </w:rPr>
              <w:t xml:space="preserve"> </w:t>
            </w:r>
            <w:r w:rsidR="008D39D7">
              <w:rPr>
                <w:rFonts w:ascii="Times New Roman" w:hAnsi="Times New Roman"/>
                <w:bCs/>
                <w:sz w:val="22"/>
                <w:szCs w:val="22"/>
              </w:rPr>
              <w:t xml:space="preserve">(</w:t>
            </w:r>
            <w:r w:rsidR="008D39D7" w:rsidRPr="008D39D7">
              <w:rPr>
                <w:rFonts w:ascii="Times New Roman" w:hAnsi="Times New Roman"/>
                <w:bCs/>
                <w:sz w:val="22"/>
                <w:szCs w:val="22"/>
              </w:rPr>
              <w:t xml:space="preserve">ES, AC)</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 xml:space="preserve">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xml:space="preserve">Alex Saravia, Abayomi Odugbesi</w:t>
            </w:r>
            <w:r w:rsidR="008D39D7">
              <w:rPr>
                <w:rFonts w:ascii="Times New Roman" w:hAnsi="Times New Roman"/>
                <w:bCs/>
                <w:sz w:val="22"/>
                <w:szCs w:val="22"/>
              </w:rPr>
              <w:t xml:space="preserve"> (</w:t>
            </w:r>
            <w:r w:rsidR="008D39D7" w:rsidRPr="008D39D7">
              <w:rPr>
                <w:rFonts w:ascii="Times New Roman" w:hAnsi="Times New Roman"/>
                <w:bCs/>
                <w:sz w:val="22"/>
                <w:szCs w:val="22"/>
              </w:rPr>
              <w:t xml:space="preserve">ES, AOD)</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 xml:space="preserve">Processor:</w:t>
            </w:r>
          </w:p>
          <w:p w14:paraId="478A6EE0" w14:textId="7F3F771E" w:rsidR="009C1D56" w:rsidRPr="008D39D7" w:rsidRDefault="009C1D56" w:rsidP="009C1D56">
            <w:pPr>
              <w:rPr>
                <w:rFonts w:ascii="Times New Roman" w:hAnsi="Times New Roman"/>
                <w:bCs/>
                <w:sz w:val="22"/>
                <w:szCs w:val="22"/>
              </w:rPr>
            </w:pPr>
            <w:r>
              <w:t xml:space="preserve">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 xml:space="preserve">Analyst</w:t>
            </w:r>
            <w:r w:rsidR="000E1C2E">
              <w:rPr>
                <w:rFonts w:ascii="Times New Roman" w:hAnsi="Times New Roman"/>
                <w:bCs/>
                <w:sz w:val="22"/>
                <w:szCs w:val="22"/>
              </w:rPr>
              <w:t xml:space="preserve">:</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Elysse Nioupin, Andrew Carrillo</w:t>
            </w:r>
            <w:r w:rsidR="0099173B">
              <w:rPr>
                <w:rFonts w:ascii="Times New Roman" w:hAnsi="Times New Roman"/>
                <w:bCs/>
                <w:sz w:val="22"/>
                <w:szCs w:val="22"/>
              </w:rPr>
              <w:t xml:space="preserve"> </w:t>
            </w:r>
            <w:bookmarkEnd w:id="3"/>
            <w:r w:rsidR="0099173B">
              <w:rPr>
                <w:rFonts w:ascii="Times New Roman" w:hAnsi="Times New Roman"/>
                <w:bCs/>
                <w:sz w:val="22"/>
                <w:szCs w:val="22"/>
              </w:rPr>
              <w:t xml:space="preserve">(</w:t>
            </w:r>
            <w:r w:rsidR="0099173B" w:rsidRPr="008D39D7">
              <w:rPr>
                <w:rFonts w:ascii="Times New Roman" w:hAnsi="Times New Roman"/>
                <w:bCs/>
                <w:sz w:val="22"/>
                <w:szCs w:val="22"/>
              </w:rPr>
              <w:t xml:space="preserve">EN, AC)</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GLP3R/Cagrilinitide</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2608-216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 xml:space="preserve">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Liquid</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10Sep26, 21Sep26, sample ETX-260902-0505, ETX-260914-0470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t>SOP / Test Method #:</w:t>
            </w:r>
          </w:p>
          <w:p w14:paraId="193A51B3" w14:textId="1A1BA108" w:rsidR="00734271" w:rsidRPr="00BA7279" w:rsidRDefault="001010FF" w:rsidP="00CE719F">
            <w:pPr>
              <w:outlineLvl w:val="0"/>
              <w:rPr>
                <w:rFonts w:ascii="Times New Roman" w:hAnsi="Times New Roman"/>
                <w:bCs/>
                <w:sz w:val="22"/>
                <w:szCs w:val="22"/>
              </w:rPr>
            </w:pPr>
            <w:r>
              <w:t>MICRO-SOP-5 (19)</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t xml:space="preserve">Effective Date: </w:t>
            </w:r>
          </w:p>
          <w:p w14:paraId="6D5D0B67" w14:textId="27FD03B0" w:rsidR="00CE719F" w:rsidRPr="00BA7279" w:rsidRDefault="001010FF" w:rsidP="00CE719F">
            <w:pPr>
              <w:outlineLvl w:val="0"/>
              <w:rPr>
                <w:rFonts w:ascii="Times New Roman" w:hAnsi="Times New Roman"/>
                <w:bCs/>
                <w:sz w:val="22"/>
                <w:szCs w:val="22"/>
              </w:rPr>
            </w:pPr>
            <w:r>
              <w:t>24Jul26</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t>SOP / Test Method Rev:</w:t>
            </w:r>
          </w:p>
          <w:p w14:paraId="258B6448" w14:textId="375BD869" w:rsidR="00CE719F" w:rsidRPr="00BA7279" w:rsidRDefault="00CE719F" w:rsidP="00CE719F">
            <w:pPr>
              <w:outlineLvl w:val="0"/>
              <w:rPr>
                <w:rFonts w:ascii="Times New Roman" w:hAnsi="Times New Roman"/>
                <w:bCs/>
                <w:noProof/>
                <w:sz w:val="22"/>
                <w:szCs w:val="22"/>
              </w:rPr>
            </w:pPr>
            <w:r>
              <w:t>Rev: 19</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t>Limits/Specification:</w:t>
            </w:r>
          </w:p>
          <w:p w14:paraId="6F92ED5A" w14:textId="74244FBF" w:rsidR="00CE719F" w:rsidRPr="00BA7279" w:rsidRDefault="00CE719F" w:rsidP="00CE719F">
            <w:pPr>
              <w:outlineLvl w:val="0"/>
              <w:rPr>
                <w:rFonts w:ascii="Times New Roman" w:hAnsi="Times New Roman"/>
                <w:bCs/>
                <w:sz w:val="22"/>
                <w:szCs w:val="22"/>
              </w:rPr>
            </w:pPr>
            <w:r>
              <w:t>Pass/Fail</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10Sep26, 21Sep26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 xml:space="preserve">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 xml:space="preserve">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Alex Saravia, Andrew Carrillo, </w:t>
            </w:r>
            <w:r w:rsidR="00A9525F">
              <w:rPr>
                <w:rFonts w:ascii="Times New Roman" w:hAnsi="Times New Roman"/>
                <w:bCs/>
                <w:sz w:val="22"/>
                <w:szCs w:val="22"/>
              </w:rPr>
              <w:t xml:space="preserve">Alex Saravia, Abayomi Odugbesi</w:t>
            </w:r>
            <w:r w:rsidR="00EF20E8">
              <w:rPr>
                <w:rFonts w:ascii="Times New Roman" w:hAnsi="Times New Roman"/>
                <w:bCs/>
                <w:sz w:val="22"/>
                <w:szCs w:val="22"/>
              </w:rPr>
              <w:t xml:space="preserve">, </w:t>
            </w:r>
            <w:r w:rsidR="009C1D56">
              <w:rPr>
                <w:rFonts w:ascii="Times New Roman" w:hAnsi="Times New Roman"/>
                <w:bCs/>
                <w:sz w:val="22"/>
                <w:szCs w:val="22"/>
              </w:rPr>
              <w:t xml:space="preserve"/>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Elysse Nioupin, Andrew Carrillo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xml:space="preserve">ETX-260902-0505, ETX-260914-0470</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t>Yes, as per MICRO-SOP-5</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t>Yes, as per MICRO-SOP-5</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 xml:space="preserve">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xml:space="preserve">ETX-260902-0505, ETX-260914-0470</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 xml:space="preserve">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xml:space="preserve">ETX-260902-0505, ETX-260914-0470</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 xml:space="preserve">ISO 5 BSC E00</w:t>
            </w:r>
            <w:r w:rsidR="00002DF9" w:rsidRPr="005D418C">
              <w:rPr>
                <w:rFonts w:ascii="Times New Roman" w:eastAsiaTheme="minorEastAsia" w:hAnsi="Times New Roman"/>
                <w:bCs/>
                <w:sz w:val="22"/>
                <w:szCs w:val="22"/>
                <w:lang w:eastAsia="zh-CN"/>
              </w:rPr>
              <w:t xml:space="preserve">1316, 1314</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 xml:space="preserve">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t xml:space="preserve">E001736 (CR114, 115)</w:t>
            </w:r>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xml:space="preserve">,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t>Phase I Summary:</w:t>
            </w:r>
          </w:p>
          <w:p/>
          <w:p>
            <w:r>
              <w:t xml:space="preserve">All analysts involved in the prepping, processing, and reading of both samples – Alex Saravia, Elysse Nioupin, Andrew Carrillo, and Abayomi Odugbesi – were interviewed comprehensively. Their answers are recorded throughout this document.
Upon arrival, both sample submissions (ETX-260902-0505 and ETX-260914-0470) were stored in accordance with the Client’s instructions. Analysts verified the integrity of the sample containers throughout both preparation and processing stages. No leaks, cracks, or turbidity were observed prior to testing, verifying container integrity.
All reagents and supplies mentioned in the material section above were stored according to suppliers’ recommendations, and their integrity was visually verified before utilization. Moreover, all culture media, rinses, and supplies possessed valid expiration dates. The functionality of all equipment was confirmed by reviewing continuous monitoring data.
Initial testing was conducted in Cleanroom Suite 114 (comprising the innermost ISO 7 cleanroom 114B, middle ISO 7 buffer room 114A, and outermost ISO 8 anteroom 114). Retest processing was conducted in Cleanroom Suite 115. Positive air pressure cascades are maintained throughout both suites to ensure controlled, outward unidirectional airflow.
Initial sample ETX-260902-0505 was received on 02 Sep 2026 and processed on 04 Sep 2026 by Alex Saravia in certified ISO 5 BSC E001316 (Cleanroom 114B) as per MICRO-SOP-5 (USP 71&gt; / EP 2.6.1 Sterility Test). Prior to entry, vials were disinfected with acidified bleach allowing a 10-minute contact time at each transfer boundary. Membrane filtration was performed (3 vials filtered). Media bottles were transferred into designated incubators E001356 and E001357. On 10 Sep 2026 (Day 6 of incubation), turbidity was observed in 1 x 100mL TSB bottle by reading analyst Elysse Nioupin and confirmed by supervisor Robin Seymour. The positive bottle was submitted for Microbial Identification under ETX-260910-0290, which definitively identified the isolate as Microbacterium sp. PM5 (Gram (+) rods). Concurrent negative controls remained sterile.
Secondary sample ETX-260914-0470 was prepped on 14 Sep 2026 by Andrew Carrillo and processed on 15 Sep 2026 by Abayomi Odugbesi in certified ISO 5 BSC E001314 in Cleanroom Suite 115 as per MICRO-SOP-5 via membrane filtration (4 vials / 60 gm filtered). Standard multi-barrier disinfection and strict aseptic techniques were maintained. Media bottles were incubated in incubators E001356 and E001357. On 21 Sep 2026 (Day 6 of incubation), turbidity was observed in 1 x 100mL TSB bottle by reading analyst Andrew Carrillo and confirmed by supervisor Robin Seymour. The positive bottle was submitted for Microbial Identification under ETX-260921-0498, which definitively identified the identical isolate, Microbacterium sp. PM5 (Gram (+) short rods). Concurrent negative controls remained sterile.</w:t>
              <w:br/>
              <w:t xml:space="preserve"/>
              <w:br/>
              <w:t xml:space="preserve">ISO 5 BSC Environmental Monitoring Results Evaluation:
After reviewing the Environmental Monitoring (EM) records for both testing dates (04 Sep 2026 and 15 Sep 2026), no microbial growth was detected on operator personnel fingertip touch plates, settling plates, or ISO 5 BSC surface contact plates for either session, nor on preceding or subsequent testing days (including 03Sep26, 04Sep26, 08Sep26 for ES in BSC E001316, and 14Sep26, 15Sep26, 16Sep26 for AOD in BSC E001314).
Cleanroom Environmental Monitoring Results Evaluation:
For the initial processing on 04 Sep 2026 in Suite 114, weekly active surface sampling showed no growth; weekly active air sampling in ISO 8 cleanroom 114 recovered 2 CFUs (ETX-260914-0487), identified as Corynebacterium ureicelerivorans and Mycobacterium grossiae; on 10 Sep 2026, 1 CFU was recovered (ETX-260921-0520), identified as Micrococcus luteus. These environmental isolates differed distinctly in genus and morphology from the sample isolate (Microbacterium sp. PM5). For the retest processing on 15 Sep 2026 in Cleanroom Suite 115, weekly active surface sampling showed no growth; weekly active air sampling in ISO 8 cleanroom 115 recovered 9 CFUs (ETX-260923-0402), identified as Kocuria indica, Brevibacterium sp. CS2, Corynebacterium sp, Micrococcus luteus, Paracoccus yeei, Staphylococcus hominis, and Kocuria rhizophila. 100% of these environmental isolates differed distinctly in genus and morphology from the product contamination isolate (Microbacterium sp. PM5). Both air recoveries were strictly confined to the outermost ISO 8 anterooms (ISO 8 114 and ISO 8 115). All actual testing occurred within certified ISO 5 BSCs (E001316 in Suite 114 and E001314 in Suite 115) located in ISO 7 cleanrooms separated by positive pressure cascades. Test containers were transferred in disinfected, lidded bins, and critical zone settling, surface contact, and analyst fingertip plates remained 100% sterile (0 CFU). Therefore, cleanroom air recoveries were unrelated to the sample contamination. (Refer to Table 1 for sample details, Table 2 for environmental monitoring from processing performed on 04 Sep 2026, and Table 3 for environmental monitoring from processing performed on 15 Sep 2026).
The complete absence of contamination across all analyst glove touch plates, settling plates, and ISO 5 work surfaces across both processing sessions confirms that the ISO 5 critical zones remained in optimal control. Full compliance with MICRO-SOP-9 and MICRO-SOP-5 was verified. Monthly cleaning and disinfection of Cleanroom Suite 114 and Suite 115 was performed on 30 Aug 2026 as per MICRO-SOP-9, with all chemical H2O2 indicators passing.
A 6-month historical review for client Solyn LLC (E75000) confirmed that analyte GLP3R/Cagrilinitide had no prior sterility failures. Batch cross-contamination reviews were conducted for all samples processed on 04 Sep 2026 (where ETX-260902-0505 was 3rd in the batch) and 15 Sep 2026. All other client samples processed during both testing sessions tested negative, ruling out cross-contamination.
Importantly, the investigation evaluated why the prior rapid ScanRDI sterility test on this lot (ETX-260807-0602) yielded a passing result. In compounded parenteral products, low-level bioburden is characteristically non-uniformly distributed across individual vials. Under low-concentration non-uniform contamination, random unit sampling naturally results in some vials containing zero viable cells—as occurred with the vials sampled for ScanRDI under ETX-260807-0602—while other vials harbor low-level viable bioburden. Furthermore, no method suitability was on file for ScanRDI with this formulation. When low-level viable organisms were introduced into the 14-day USP 71&gt; membrane filtration enrichment process, the microorganisms were successfully enriched and recovered in TSB on Day 6 in both independent testing events (ETX-260902-0505 and ETX-260914-0470), yielding the identical strain (Microbacterium sp. PM5). The successful replication across different processing analysts (Alex Saravia vs. Abayomi Odugbesi), different BSCs (E001316 vs. E001314), and different cleanroom suites (Suite 114 vs. Suite 115) conclusively refutes the preliminary hypothesis of analyst handling error during reconstitution. The passing ScanRDI result and both failing USP 71&gt; results are scientifically consistent with non-uniform microbial distribution. Consequently, inherent product contamination in Lot 2608-216 is confirmed, and Lot 2608-216 fails USP 71&gt; sterility requirements.</w:t>
            </w:r>
          </w:p>
          <w:p/>
          <w:p>
            <w:r>
              <w:t xml:space="preserve"/>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Pr>
          <w:b/>
        </w:rPr>
        <w:t>Table 1: Information for ETX-260902-0505, ETX-260914-0470 under investigation</w:t>
      </w:r>
    </w:p>
    <w:tbl>
      <w:tblPr>
        <w:tblStyle w:val="TableGrid"/>
        <w:tblW w:w="9340" w:type="dxa"/>
        <w:tblLayout w:type="fixed"/>
        <w:tblLook w:val="04A0" w:firstRow="1" w:lastRow="0" w:firstColumn="1" w:lastColumn="0" w:noHBand="0" w:noVBand="1"/>
      </w:tblPr>
      <w:tblGrid>
        <w:gridCol w:w="1550"/>
        <w:gridCol w:w="1550"/>
        <w:gridCol w:w="1400"/>
        <w:gridCol w:w="1400"/>
        <w:gridCol w:w="1540"/>
        <w:gridCol w:w="1900"/>
      </w:tblGrid>
      <w:tr w:rsidR="00D40C20" w:rsidRPr="00A54DCC" w14:paraId="073B9917" w14:textId="77777777" w:rsidTr="00D40C20">
        <w:trPr>
          <w:trHeight w:val="906"/>
          <w:jc w:val="center"/>
          <w:trHeight w:val="220" w:hRule="atLeast"/>
        </w:trPr>
        <w:tc>
          <w:tcPr>
            <w:tcW w:w="1550" w:type="dxa"/>
            <w:shd w:val="clear" w:color="auto" w:fill="E8E8E8" w:themeFill="background2"/>
            <w:vAlign w:val="center"/>
          </w:tcPr>
          <w:p w14:paraId="19A6E0CE" w14:textId="0A7B05CF" w:rsidR="00D40C20" w:rsidRDefault="00D40C20" w:rsidP="00D40C20">
            <w:pPr>
              <w:pStyle w:val="Default"/>
              <w:jc w:val="center"/>
              <w:rPr>
                <w:bCs/>
                <w:sz w:val="14"/>
                <w:szCs w:val="14"/>
              </w:rPr>
            </w:pPr>
            <w:r>
              <w:rPr>
                <w:bCs/>
                <w:sz w:val="14"/>
                <w:szCs w:val="14"/>
                <w:rFonts w:ascii="Times New Roman" w:hAnsi="Times New Roman" w:cs="Times New Roman"/>
              </w:rPr>
              <w:t>Processing</w:t>
            </w:r>
            <w:r w:rsidRPr="00352132">
              <w:rPr>
                <w:bCs/>
                <w:sz w:val="14"/>
                <w:szCs w:val="14"/>
                <w:rFonts w:ascii="Times New Roman" w:hAnsi="Times New Roman" w:cs="Times New Roman"/>
              </w:rPr>
              <w:t xml:space="preserve"> Analyst</w:t>
            </w:r>
          </w:p>
        </w:tc>
        <w:tc>
          <w:tcPr>
            <w:tcW w:w="1550" w:type="dxa"/>
            <w:shd w:val="clear" w:color="auto" w:fill="E8E8E8" w:themeFill="background2"/>
            <w:vAlign w:val="center"/>
          </w:tcPr>
          <w:p>
            <w:pPr>
              <w:jc w:val="center"/>
            </w:pPr>
            <w:r>
              <w:rPr>
                <w:rFonts w:ascii="Times New Roman" w:hAnsi="Times New Roman" w:cs="Times New Roman"/>
              </w:rPr>
            </w:r>
            <w:r>
              <w:rPr>
                <w:b/>
                <w:sz w:val="14"/>
                <w:rFonts w:ascii="Times New Roman" w:hAnsi="Times New Roman" w:cs="Times New Roman"/>
              </w:rPr>
              <w:t>Reading Analyst</w:t>
            </w:r>
          </w:p>
        </w:tc>
        <w:tc>
          <w:tcPr>
            <w:tcW w:w="1400" w:type="dxa"/>
            <w:shd w:val="clear" w:color="auto" w:fill="E8E8E8" w:themeFill="background2"/>
            <w:vAlign w:val="center"/>
          </w:tcPr>
          <w:p w14:paraId="2BA74283" w14:textId="62B473AF" w:rsidR="00D40C20" w:rsidRPr="00A54DCC" w:rsidRDefault="00D40C20" w:rsidP="00D40C20">
            <w:pPr>
              <w:pStyle w:val="Default"/>
              <w:jc w:val="center"/>
              <w:rPr>
                <w:bCs/>
                <w:sz w:val="14"/>
                <w:szCs w:val="14"/>
              </w:rPr>
            </w:pPr>
            <w:r w:rsidRPr="00A54DCC">
              <w:rPr>
                <w:bCs/>
                <w:sz w:val="14"/>
                <w:szCs w:val="14"/>
                <w:rFonts w:ascii="Times New Roman" w:hAnsi="Times New Roman" w:cs="Times New Roman"/>
              </w:rPr>
              <w:t>Sample ID</w:t>
            </w:r>
          </w:p>
        </w:tc>
        <w:tc>
          <w:tcPr>
            <w:tcW w:w="1400" w:type="dxa"/>
            <w:shd w:val="clear" w:color="auto" w:fill="E8E8E8" w:themeFill="background2"/>
            <w:vAlign w:val="center"/>
          </w:tcPr>
          <w:p w14:paraId="430E8A1F" w14:textId="19D31EB7"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Related Microbial ID</w:t>
            </w:r>
          </w:p>
        </w:tc>
        <w:tc>
          <w:tcPr>
            <w:tcW w:w="1540" w:type="dxa"/>
            <w:shd w:val="clear" w:color="auto" w:fill="E8E8E8" w:themeFill="background2"/>
            <w:vAlign w:val="center"/>
          </w:tcPr>
          <w:p w14:paraId="63E25979" w14:textId="13481B3D"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Media with microbial growth</w:t>
            </w:r>
          </w:p>
        </w:tc>
        <w:tc>
          <w:tcPr>
            <w:tcW w:w="1900" w:type="dxa"/>
            <w:shd w:val="clear" w:color="auto" w:fill="E8E8E8" w:themeFill="background2"/>
            <w:vAlign w:val="center"/>
          </w:tcPr>
          <w:p w14:paraId="030C3AE2" w14:textId="78C3CEB5"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Microbial ID</w:t>
            </w:r>
          </w:p>
        </w:tc>
      </w:tr>
      <w:tr w:rsidR="00D40C20" w:rsidRPr="00A54DCC" w14:paraId="5526422F" w14:textId="77777777" w:rsidTr="00D40C20">
        <w:trPr>
          <w:cantSplit/>
          <w:trHeight w:val="744"/>
          <w:jc w:val="center"/>
          <w:trHeight w:val="220" w:hRule="atLeast"/>
        </w:trPr>
        <w:tc>
          <w:tcPr>
            <w:tcW w:w="1550" w:type="dxa"/>
            <w:vAlign w:val="center"/>
          </w:tcPr>
          <w:p w14:paraId="6B62FD30" w14:textId="2C9A7D17" w:rsidR="00D40C20" w:rsidRPr="00282AB8" w:rsidRDefault="00D40C20" w:rsidP="00D40C20">
            <w:pPr>
              <w:spacing w:line="360" w:lineRule="auto"/>
              <w:jc w:val="center"/>
              <w:rPr>
                <w:rFonts w:ascii="Times New Roman" w:hAnsi="Times New Roman"/>
                <w:sz w:val="14"/>
                <w:szCs w:val="14"/>
              </w:rPr>
            </w:pPr>
            <w:r w:rsidRPr="00282AB8">
              <w:rPr>
                <w:sz w:val="14"/>
                <w:szCs w:val="14"/>
                <w:rFonts w:ascii="Times New Roman" w:hAnsi="Times New Roman" w:cs="Times New Roman"/>
              </w:rPr>
              <w:t xml:space="preserve">Alex Saravia</w:t>
            </w:r>
          </w:p>
        </w:tc>
        <w:tc>
          <w:tcPr>
            <w:tcW w:w="1550" w:type="dxa"/>
            <w:vAlign w:val="center"/>
          </w:tcPr>
          <w:p>
            <w:pPr>
              <w:jc w:val="center"/>
            </w:pPr>
            <w:r>
              <w:rPr>
                <w:rFonts w:ascii="Times New Roman" w:hAnsi="Times New Roman" w:cs="Times New Roman"/>
              </w:rPr>
            </w:r>
            <w:r>
              <w:rPr>
                <w:b w:val="0"/>
                <w:sz w:val="14"/>
                <w:rFonts w:ascii="Times New Roman" w:hAnsi="Times New Roman" w:cs="Times New Roman"/>
              </w:rPr>
              <w:t xml:space="preserve">Elysse Nioupin</w:t>
            </w:r>
          </w:p>
        </w:tc>
        <w:tc>
          <w:tcPr>
            <w:tcW w:w="1400" w:type="dxa"/>
            <w:vAlign w:val="center"/>
          </w:tcPr>
          <w:p>
            <w:pPr>
              <w:jc w:val="center"/>
              <w:spacing w:before="0" w:after="0" w:line="240" w:lineRule="auto"/>
              <w:rPr>
                <w:rFonts w:ascii="Times New Roman" w:hAnsi="Times New Roman"/>
                <w:sz w:val="14"/>
                <w:szCs w:val="14"/>
              </w:rPr>
            </w:pPr>
            <w:hyperlink r:id="rId7" w:history="1">
              <w:r>
                <w:rPr>
                  <w:rFonts w:ascii="Times New Roman" w:hAnsi="Times New Roman"/>
                  <w:color w:val="0000FF"/>
                  <w:sz w:val="14"/>
                  <w:szCs w:val="14"/>
                  <w:u w:val="single"/>
                </w:rPr>
                <w:t>ETX-260902-0505</w:t>
              </w:r>
            </w:hyperlink>
          </w:p>
        </w:tc>
        <w:tc>
          <w:tcPr>
            <w:tcW w:w="1400" w:type="dxa"/>
            <w:vAlign w:val="center"/>
          </w:tcPr>
          <w:p>
            <w:pPr>
              <w:jc w:val="center"/>
              <w:spacing w:before="0" w:after="0" w:line="240" w:lineRule="auto"/>
              <w:rPr>
                <w:rFonts w:ascii="Times New Roman" w:hAnsi="Times New Roman"/>
                <w:sz w:val="14"/>
                <w:szCs w:val="14"/>
              </w:rPr>
            </w:pPr>
            <w:hyperlink r:id="rId8" w:history="1">
              <w:r>
                <w:rPr>
                  <w:rFonts w:ascii="Times New Roman" w:hAnsi="Times New Roman"/>
                  <w:color w:val="0000FF"/>
                  <w:sz w:val="14"/>
                  <w:szCs w:val="14"/>
                  <w:u w:val="single"/>
                </w:rPr>
                <w:t>ETX-260910-0290</w:t>
              </w:r>
            </w:hyperlink>
          </w:p>
        </w:tc>
        <w:tc>
          <w:tcPr>
            <w:tcW w:w="1540" w:type="dxa"/>
            <w:vAlign w:val="center"/>
          </w:tcPr>
          <w:p w14:paraId="3841EF94" w14:textId="518A767F" w:rsidR="00D40C20" w:rsidRPr="006765AF" w:rsidRDefault="00D40C20" w:rsidP="00D40C20">
            <w:pPr>
              <w:pStyle w:val="Default"/>
              <w:spacing w:line="360" w:lineRule="auto"/>
              <w:jc w:val="center"/>
              <w:rPr>
                <w:rFonts w:eastAsiaTheme="minorEastAsia"/>
                <w:sz w:val="14"/>
                <w:szCs w:val="14"/>
                <w:lang w:eastAsia="zh-CN"/>
              </w:rPr>
            </w:pPr>
            <w:r w:rsidRPr="006765AF">
              <w:rPr>
                <w:sz w:val="14"/>
                <w:szCs w:val="14"/>
                <w:rFonts w:ascii="Times New Roman" w:hAnsi="Times New Roman" w:cs="Times New Roman"/>
              </w:rPr>
              <w:t xml:space="preserve">1 x 100mL TSB bottle</w:t>
            </w:r>
          </w:p>
        </w:tc>
        <w:tc>
          <w:tcPr>
            <w:tcW w:w="1900" w:type="dxa"/>
            <w:vAlign w:val="center"/>
          </w:tcPr>
          <w:p>
            <w:pPr>
              <w:jc w:val="center"/>
              <w:spacing w:before="0" w:after="0" w:line="240" w:lineRule="auto"/>
              <w:rPr>
                <w:rFonts w:ascii="Times New Roman" w:hAnsi="Times New Roman"/>
                <w:sz w:val="14"/>
                <w:szCs w:val="14"/>
              </w:rPr>
            </w:pPr>
            <w:r>
              <w:rPr>
                <w:i/>
                <w:iCs/>
                <w:sz w:val="14"/>
                <w:szCs w:val="14"/>
                <w:rFonts w:ascii="Times New Roman" w:hAnsi="Times New Roman" w:cs="Times New Roman"/>
              </w:rPr>
              <w:t>Microbacterium sp. PM5</w:t>
            </w:r>
            <w:r>
              <w:rPr>
                <w:sz w:val="14"/>
                <w:szCs w:val="14"/>
                <w:rFonts w:ascii="Times New Roman" w:hAnsi="Times New Roman" w:cs="Times New Roman"/>
              </w:rPr>
              <w:br/>
              <w:t>(Gram (+) rods)</w:t>
            </w:r>
          </w:p>
        </w:tc>
      </w:tr>
      <w:tr>
        <w:trPr>
          <w:trHeight w:val="220" w:hRule="atLeast"/>
        </w:trPr>
        <w:tc>
          <w:tcPr>
            <w:tcW w:type="dxa" w:w="155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Abayomi Odugbesi</w:t>
            </w:r>
          </w:p>
        </w:tc>
        <w:tc>
          <w:tcPr>
            <w:tcW w:type="dxa" w:w="155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Andrew Carrillo</w:t>
            </w:r>
          </w:p>
        </w:tc>
        <w:tc>
          <w:tcPr>
            <w:tcW w:type="dxa" w:w="1400"/>
            <w:vAlign w:val="center"/>
          </w:tcPr>
          <w:p>
            <w:pPr>
              <w:jc w:val="center"/>
              <w:spacing w:before="0" w:after="0" w:line="240" w:lineRule="auto"/>
              <w:rPr>
                <w:rFonts w:ascii="Times New Roman" w:hAnsi="Times New Roman"/>
                <w:sz w:val="14"/>
                <w:szCs w:val="14"/>
              </w:rPr>
            </w:pPr>
            <w:hyperlink r:id="rId9" w:history="1">
              <w:r>
                <w:rPr>
                  <w:rFonts w:ascii="Times New Roman" w:hAnsi="Times New Roman"/>
                  <w:color w:val="0000FF"/>
                  <w:sz w:val="14"/>
                  <w:szCs w:val="14"/>
                  <w:u w:val="single"/>
                </w:rPr>
                <w:t>ETX-260914-0470</w:t>
              </w:r>
            </w:hyperlink>
          </w:p>
        </w:tc>
        <w:tc>
          <w:tcPr>
            <w:tcW w:type="dxa" w:w="1400"/>
            <w:vAlign w:val="center"/>
          </w:tcPr>
          <w:p>
            <w:pPr>
              <w:jc w:val="center"/>
              <w:spacing w:before="0" w:after="0" w:line="240" w:lineRule="auto"/>
              <w:rPr>
                <w:rFonts w:ascii="Times New Roman" w:hAnsi="Times New Roman"/>
                <w:sz w:val="14"/>
                <w:szCs w:val="14"/>
              </w:rPr>
            </w:pPr>
            <w:hyperlink r:id="rId10" w:history="1">
              <w:r>
                <w:rPr>
                  <w:rFonts w:ascii="Times New Roman" w:hAnsi="Times New Roman"/>
                  <w:color w:val="0000FF"/>
                  <w:sz w:val="14"/>
                  <w:szCs w:val="14"/>
                  <w:u w:val="single"/>
                </w:rPr>
                <w:t>ETX-260921-0498</w:t>
              </w:r>
            </w:hyperlink>
          </w:p>
        </w:tc>
        <w:tc>
          <w:tcPr>
            <w:tcW w:type="dxa" w:w="154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 x 100mL TSB bottle</w:t>
            </w:r>
          </w:p>
        </w:tc>
        <w:tc>
          <w:tcPr>
            <w:tcW w:type="dxa" w:w="1900"/>
            <w:vAlign w:val="center"/>
          </w:tcPr>
          <w:p>
            <w:pPr>
              <w:jc w:val="center"/>
              <w:spacing w:before="0" w:after="0" w:line="240" w:lineRule="auto"/>
              <w:rPr>
                <w:rFonts w:ascii="Times New Roman" w:hAnsi="Times New Roman"/>
                <w:sz w:val="14"/>
                <w:szCs w:val="14"/>
              </w:rPr>
            </w:pPr>
            <w:r>
              <w:rPr>
                <w:i/>
                <w:iCs/>
                <w:sz w:val="14"/>
                <w:szCs w:val="14"/>
                <w:rFonts w:ascii="Times New Roman" w:hAnsi="Times New Roman" w:cs="Times New Roman"/>
              </w:rPr>
              <w:t>Microbacterium sp. PM5</w:t>
            </w:r>
            <w:r>
              <w:rPr>
                <w:sz w:val="14"/>
                <w:szCs w:val="14"/>
                <w:rFonts w:ascii="Times New Roman" w:hAnsi="Times New Roman" w:cs="Times New Roman"/>
              </w:rPr>
              <w:br/>
              <w:t>(Gram (+) short rods)</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Pr>
          <w:b/>
        </w:rPr>
        <w:t>Table 2: Environmental Monitoring from Processing Performed on 04Sep26</w:t>
      </w:r>
    </w:p>
    <w:p w14:paraId="211F199F" w14:textId="77777777" w:rsidR="009012F5" w:rsidRDefault="009012F5" w:rsidP="009012F5">
      <w:pPr>
        <w:rPr>
          <w:rFonts w:ascii="Times New Roman" w:hAnsi="Times New Roman"/>
          <w:sz w:val="14"/>
          <w:szCs w:val="14"/>
        </w:rPr>
      </w:pPr>
    </w:p>
    <w:tbl>
      <w:tblPr>
        <w:tblW w:w="0" w:type="auto"/>
        <w:tblLook w:val="04A0" w:firstRow="1" w:lastRow="0" w:firstColumn="1" w:lastColumn="0" w:noHBand="0" w:noVBand="1"/>
      </w:tblPr>
      <w:tblGrid>
        <w:gridCol w:w="991"/>
        <w:gridCol w:w="115"/>
        <w:gridCol w:w="652"/>
        <w:gridCol w:w="1129"/>
        <w:gridCol w:w="999"/>
        <w:gridCol w:w="41"/>
        <w:gridCol w:w="670"/>
        <w:gridCol w:w="29"/>
        <w:gridCol w:w="1415"/>
        <w:gridCol w:w="1413"/>
        <w:gridCol w:w="1353"/>
        <w:gridCol w:w="13"/>
        <w:gridCol w:w="520"/>
      </w:tblGrid>
      <w:tr w:rsidR="004174A6" w14:paraId="48CC40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4EE893A"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(EM) Sampling Site</w:t>
            </w:r>
          </w:p>
        </w:tc>
        <w:tc>
          <w:tcPr>
            <w:tcW w:w="69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E13687B" w14:textId="77777777" w:rsidR="004174A6" w:rsidRDefault="004174A6" w:rsidP="00780543">
            <w:pPr>
              <w:jc w:val="center"/>
            </w:pPr>
            <w:r w:rsidRPr="7D3A0560">
              <w:rPr>
                <w:b/>
                <w:bCs/>
                <w:color w:val="000000" w:themeColor="text1"/>
                <w:sz w:val="12"/>
                <w:szCs w:val="12"/>
                <w:rFonts w:ascii="Times New Roman" w:hAnsi="Times New Roman" w:cs="Times New Roman"/>
              </w:rPr>
              <w:t>Frequency</w:t>
            </w:r>
          </w:p>
        </w:tc>
        <w:tc>
          <w:tcPr>
            <w:tcW w:w="1206"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Date (DDMMMYY)</w:t>
            </w:r>
          </w:p>
        </w:tc>
        <w:tc>
          <w:tcPr>
            <w:tcW w:w="116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Analyst (Initials)</w:t>
            </w:r>
          </w:p>
        </w:tc>
        <w:tc>
          <w:tcPr>
            <w:tcW w:w="581"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0C85F60C" w14:textId="77777777" w:rsidR="004174A6" w:rsidRDefault="004174A6" w:rsidP="00780543">
            <w:pPr>
              <w:jc w:val="center"/>
            </w:pPr>
            <w:r w:rsidRPr="7D3A0560">
              <w:rPr>
                <w:b/>
                <w:bCs/>
                <w:color w:val="000000" w:themeColor="text1"/>
                <w:sz w:val="12"/>
                <w:szCs w:val="12"/>
                <w:rFonts w:ascii="Times New Roman" w:hAnsi="Times New Roman" w:cs="Times New Roman"/>
              </w:rPr>
              <w:t>Day /Week(s)</w:t>
            </w:r>
          </w:p>
        </w:tc>
        <w:tc>
          <w:tcPr>
            <w:tcW w:w="1505"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3CEC99" w14:textId="77777777" w:rsidR="004174A6" w:rsidRDefault="004174A6" w:rsidP="00780543">
            <w:pPr>
              <w:jc w:val="center"/>
            </w:pPr>
            <w:r w:rsidRPr="7D3A0560">
              <w:rPr>
                <w:b/>
                <w:bCs/>
                <w:color w:val="000000" w:themeColor="text1"/>
                <w:sz w:val="12"/>
                <w:szCs w:val="12"/>
                <w:rFonts w:ascii="Times New Roman" w:hAnsi="Times New Roman" w:cs="Times New Roman"/>
              </w:rPr>
              <w:t>Observation*</w:t>
            </w:r>
          </w:p>
        </w:tc>
        <w:tc>
          <w:tcPr>
            <w:tcW w:w="1444"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5E4D72EF"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Plate ETX ID</w:t>
            </w:r>
          </w:p>
        </w:tc>
        <w:tc>
          <w:tcPr>
            <w:tcW w:w="139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C3F345B" w14:textId="77777777" w:rsidR="004174A6" w:rsidRDefault="004174A6" w:rsidP="00780543">
            <w:pPr>
              <w:jc w:val="center"/>
            </w:pPr>
            <w:r w:rsidRPr="7D3A0560">
              <w:rPr>
                <w:b/>
                <w:bCs/>
                <w:color w:val="000000" w:themeColor="text1"/>
                <w:sz w:val="12"/>
                <w:szCs w:val="12"/>
                <w:rFonts w:ascii="Times New Roman" w:hAnsi="Times New Roman" w:cs="Times New Roman"/>
              </w:rPr>
              <w:t>Microbial ID</w:t>
            </w:r>
          </w:p>
        </w:tc>
        <w:tc>
          <w:tcPr>
            <w:tcW w:w="507"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FC878B9" w14:textId="77777777" w:rsidR="004174A6" w:rsidRDefault="004174A6" w:rsidP="00780543">
            <w:pPr>
              <w:jc w:val="center"/>
            </w:pPr>
            <w:r w:rsidRPr="7D3A0560">
              <w:rPr>
                <w:b/>
                <w:bCs/>
                <w:color w:val="000000" w:themeColor="text1"/>
                <w:sz w:val="12"/>
                <w:szCs w:val="12"/>
                <w:rFonts w:ascii="Times New Roman" w:hAnsi="Times New Roman" w:cs="Times New Roman"/>
              </w:rPr>
              <w:t xml:space="preserve">Notes </w:t>
            </w:r>
          </w:p>
        </w:tc>
      </w:tr>
      <w:tr w:rsidR="004174A6" w14:paraId="1F287093"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EC3F8B0" w14:textId="77777777" w:rsidR="004174A6" w:rsidRDefault="004174A6" w:rsidP="00780543">
            <w:r w:rsidRPr="7D3A0560">
              <w:rPr>
                <w:b/>
                <w:bCs/>
                <w:color w:val="000000" w:themeColor="text1"/>
                <w:sz w:val="14"/>
                <w:szCs w:val="14"/>
                <w:rFonts w:ascii="Times New Roman" w:hAnsi="Times New Roman" w:cs="Times New Roman"/>
              </w:rPr>
              <w:t xml:space="preserve"> Personnel EM Bracketing</w:t>
            </w:r>
          </w:p>
        </w:tc>
      </w:tr>
      <w:tr w:rsidR="004174A6" w14:paraId="436D1F2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6D737BCF"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1AE30"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78640FD2" w14:textId="77777777" w:rsidR="004174A6" w:rsidRDefault="004174A6" w:rsidP="00780543">
            <w:pPr>
              <w:rPr>
                <w:rFonts w:ascii="Times New Roman" w:hAnsi="Times New Roman"/>
                <w:color w:val="000000" w:themeColor="text1"/>
                <w:sz w:val="14"/>
                <w:szCs w:val="14"/>
              </w:rPr>
              <w:jc w:val="center"/>
            </w:pPr>
            <w:r>
              <w:rPr>
                <w:color w:val="000000" w:themeColor="text1"/>
                <w:sz w:val="14"/>
                <w:szCs w:val="14"/>
                <w:rFonts w:ascii="Times New Roman" w:hAnsi="Times New Roman" w:cs="Times New Roman"/>
              </w:rPr>
              <w:t w:space="preserve" xml:space="preserve">03Sep26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1BFE7D3"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A2D4FDD"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5D8C55"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4ADD5173"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8A87F0"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8DCFE4"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634F6010"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517715"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23EE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4377A3"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95174B7" w14:textId="77777777" w:rsidR="004174A6" w:rsidRDefault="004174A6" w:rsidP="00780543">
            <w:pPr>
              <w:jc w:val="center"/>
              <w:rPr>
                <w:rFonts w:ascii="Times New Roman" w:hAnsi="Times New Roman"/>
                <w:color w:val="000000" w:themeColor="text1"/>
                <w:sz w:val="14"/>
                <w:szCs w:val="14"/>
              </w:rPr>
            </w:pPr>
            <w:bookmarkStart w:id="0" w:name="OLE_LINK3"/>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bookmarkEnd w:id="0"/>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4F77BC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5545F53"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0D9F1C7"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1D5E72"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BD1EB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7F9134A6"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7253800"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9E2514F"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562089"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2B03A2"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372BD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9A2768"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E6991F"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D1A05"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2C10E6"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3C7AA427"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Biological Safety Cabinet EM Bracketing - ISO 5 BSC E001316 (Suite 114)</w:t>
            </w:r>
          </w:p>
        </w:tc>
      </w:tr>
      <w:tr w:rsidR="004174A6" w14:paraId="694809FD"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47F82E8E"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1EE058"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69152E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03Sep26</w:t>
            </w:r>
            <w:r>
              <w:rPr>
                <w:color w:val="000000" w:themeColor="text1"/>
                <w:sz w:val="14"/>
                <w:szCs w:val="14"/>
                <w:rFonts w:ascii="Times New Roman" w:hAnsi="Times New Roman" w:cs="Times New Roman"/>
              </w:rPr>
              <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256371"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564E0DC"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A132698"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BBC8AC8"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4F444"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3BBDE3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1C095F4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B42959"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w:t>
            </w:r>
          </w:p>
          <w:p w14:paraId="19A2E72B" w14:textId="77777777" w:rsidR="004174A6" w:rsidRDefault="004174A6" w:rsidP="00780543">
            <w:pPr>
              <w:jc w:val="center"/>
            </w:pPr>
            <w:r w:rsidRPr="7D3A0560">
              <w:rPr>
                <w:color w:val="000000" w:themeColor="text1"/>
                <w:sz w:val="14"/>
                <w:szCs w:val="14"/>
                <w:rFonts w:ascii="Times New Roman" w:hAnsi="Times New Roman" w:cs="Times New Roman"/>
              </w:rPr>
              <w:t>(4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98B1A11"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73AF8F"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22A8F6"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1B8BF0F"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86662F"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0AFAB6"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240BF3A"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8F50D3A"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74150F0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98441D"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279DDE9"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842F129"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A909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FA5490"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8AF273"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D841352"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E6200E"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68AF2C"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231FB9D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EDD2BC"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BA5ED2"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4D4870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03Sep26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4D61EE"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BB28C0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B2B499"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1C71313"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3369F0"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873F23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4239C6E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8433F"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AA883D5"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DD641D7"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A8CF8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2EB37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CA8410F"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D4D25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95163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81021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693C1A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8F8B44"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DE8E4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04830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23391F"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53401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CE866D"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F07D5CA"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A1B08C"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FEE8F6"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57A38D3C"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Active Air Sampling Bracketing (Suite 114)</w:t>
            </w:r>
          </w:p>
        </w:tc>
      </w:tr>
      <w:tr w:rsidR="004174A6" w14:paraId="74B74A9B" w14:textId="77777777" w:rsidTr="00780543">
        <w:trPr>
          <w:trHeight w:val="300"/>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FDF4CBD" w14:textId="77777777" w:rsidR="004174A6" w:rsidRDefault="004174A6" w:rsidP="00780543">
            <w:pPr>
              <w:jc w:val="center"/>
            </w:pPr>
            <w:r w:rsidRPr="7D3A0560">
              <w:rPr>
                <w:color w:val="000000" w:themeColor="text1"/>
                <w:sz w:val="14"/>
                <w:szCs w:val="14"/>
                <w:rFonts w:ascii="Times New Roman" w:hAnsi="Times New Roman" w:cs="Times New Roman"/>
              </w:rPr>
              <w:t>Active Air Sampling of Cleanrooms</w:t>
            </w:r>
          </w:p>
        </w:tc>
        <w:tc>
          <w:tcPr>
            <w:tcW w:w="566" w:type="dxa"/>
            <w:tcBorders>
              <w:top w:val="single" w:sz="8" w:space="0" w:color="auto"/>
              <w:left w:val="nil"/>
              <w:bottom w:val="single" w:sz="8" w:space="0" w:color="auto"/>
              <w:right w:val="single" w:sz="8" w:space="0" w:color="auto"/>
            </w:tcBorders>
            <w:vAlign w:val="center"/>
          </w:tcPr>
          <w:p w14:paraId="548FA163"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04Sep26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ISS</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59849C41" w14:textId="77777777" w:rsidR="004174A6" w:rsidRDefault="004174A6" w:rsidP="00780543">
            <w:pPr>
              <w:jc w:val="center"/>
            </w:pPr>
            <w:r w:rsidRPr="7D3A0560">
              <w:rPr>
                <w:color w:val="000000" w:themeColor="text1"/>
                <w:sz w:val="14"/>
                <w:szCs w:val="14"/>
                <w:rFonts w:ascii="Times New Roman" w:hAnsi="Times New Roman" w:cs="Times New Roman"/>
              </w:rPr>
              <w:t xml:space="preserve">Week on Testing Date</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2 CFUs</w:t>
            </w:r>
          </w:p>
          <w:p>
            <w:pPr>
              <w:jc w:val="center"/>
              <w:spacing w:before="0" w:after="0" w:line="220" w:lineRule="auto"/>
              <w:rPr>
                <w:rFonts w:ascii="Times New Roman" w:hAnsi="Times New Roman"/>
                <w:sz w:val="14"/>
                <w:szCs w:val="14"/>
              </w:rPr>
            </w:pPr>
            <w:r>
              <w:rPr>
                <w:sz w:val="14"/>
                <w:szCs w:val="14"/>
                <w:rFonts w:ascii="Times New Roman" w:hAnsi="Times New Roman" w:cs="Times New Roman"/>
              </w:rPr>
              <w:t>(ISO 8 114)</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4"/>
                <w:szCs w:val="14"/>
              </w:rPr>
            </w:pPr>
            <w:hyperlink r:id="rId11" w:history="1">
              <w:r>
                <w:rPr>
                  <w:rFonts w:ascii="Times New Roman" w:hAnsi="Times New Roman"/>
                  <w:color w:val="0000FF"/>
                  <w:sz w:val="14"/>
                  <w:szCs w:val="14"/>
                  <w:u w:val="single"/>
                </w:rPr>
                <w:t>ETX-260914-0487</w:t>
              </w:r>
            </w:hyperlink>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3"/>
                <w:szCs w:val="13"/>
              </w:rPr>
            </w:pPr>
            <w:r>
              <w:rPr>
                <w:i/>
                <w:iCs/>
                <w:sz w:val="13"/>
                <w:szCs w:val="13"/>
                <w:rFonts w:ascii="Times New Roman" w:hAnsi="Times New Roman" w:cs="Times New Roman"/>
              </w:rPr>
              <w:t>Corynebacterium ureicelerivorans</w:t>
            </w:r>
          </w:p>
          <w:p>
            <w:pPr>
              <w:jc w:val="center"/>
              <w:spacing w:before="0" w:after="0" w:line="120" w:lineRule="auto"/>
              <w:rPr>
                <w:rFonts w:ascii="Times New Roman" w:hAnsi="Times New Roman"/>
                <w:sz w:val="13"/>
                <w:szCs w:val="13"/>
              </w:rPr>
            </w:pPr>
          </w:p>
          <w:p>
            <w:pPr>
              <w:jc w:val="center"/>
              <w:spacing w:before="0" w:after="0" w:line="240" w:lineRule="auto"/>
              <w:rPr>
                <w:rFonts w:ascii="Times New Roman" w:hAnsi="Times New Roman"/>
                <w:sz w:val="13"/>
                <w:szCs w:val="13"/>
              </w:rPr>
            </w:pPr>
            <w:r>
              <w:rPr>
                <w:i/>
                <w:iCs/>
                <w:sz w:val="13"/>
                <w:szCs w:val="13"/>
                <w:rFonts w:ascii="Times New Roman" w:hAnsi="Times New Roman" w:cs="Times New Roman"/>
              </w:rPr>
              <w:t>Mycobacterium grossiae</w:t>
            </w:r>
          </w:p>
        </w:tc>
        <w:tc>
          <w:tcPr>
            <w:tcW w:w="460" w:type="dxa"/>
            <w:tcBorders>
              <w:top w:val="single" w:sz="8" w:space="0" w:color="auto"/>
              <w:left w:val="nil"/>
              <w:bottom w:val="single" w:sz="8" w:space="0" w:color="auto"/>
              <w:right w:val="single" w:sz="8" w:space="0" w:color="auto"/>
            </w:tcBorders>
            <w:vAlign w:val="center"/>
          </w:tcPr>
          <w:p w14:paraId="5AA4860B"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 xml:space="preserve">None </w:t>
            </w:r>
          </w:p>
        </w:tc>
      </w:tr>
      <w:tr w:rsidR="004174A6" w14:paraId="00C75E11"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Surface Sampling of Cleanrooms Bracketing (Suite 114)</w:t>
            </w:r>
          </w:p>
        </w:tc>
      </w:tr>
      <w:tr w:rsidR="004174A6" w14:paraId="214A14F0" w14:textId="77777777" w:rsidTr="00780543">
        <w:trPr>
          <w:trHeight w:val="255"/>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8932D4F" w14:textId="77777777" w:rsidR="004174A6" w:rsidRDefault="004174A6" w:rsidP="00780543">
            <w:pPr>
              <w:jc w:val="center"/>
            </w:pPr>
            <w:r w:rsidRPr="7D3A0560">
              <w:rPr>
                <w:color w:val="000000" w:themeColor="text1"/>
                <w:sz w:val="14"/>
                <w:szCs w:val="14"/>
                <w:rFonts w:ascii="Times New Roman" w:hAnsi="Times New Roman" w:cs="Times New Roman"/>
              </w:rPr>
              <w:t>Surface Sampling of Cleanrooms</w:t>
            </w:r>
          </w:p>
        </w:tc>
        <w:tc>
          <w:tcPr>
            <w:tcW w:w="566" w:type="dxa"/>
            <w:tcBorders>
              <w:top w:val="single" w:sz="8" w:space="0" w:color="auto"/>
              <w:left w:val="nil"/>
              <w:bottom w:val="single" w:sz="8" w:space="0" w:color="auto"/>
              <w:right w:val="single" w:sz="8" w:space="0" w:color="auto"/>
            </w:tcBorders>
            <w:vAlign w:val="center"/>
          </w:tcPr>
          <w:p w14:paraId="613DF78E"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04Sep26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ISS</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710A0AA1" w14:textId="77777777" w:rsidR="004174A6" w:rsidRDefault="004174A6" w:rsidP="00780543">
            <w:pPr>
              <w:jc w:val="center"/>
            </w:pPr>
            <w:r w:rsidRPr="7D3A0560">
              <w:rPr>
                <w:color w:val="000000" w:themeColor="text1"/>
                <w:sz w:val="14"/>
                <w:szCs w:val="14"/>
                <w:rFonts w:ascii="Times New Roman" w:hAnsi="Times New Roman" w:cs="Times New Roman"/>
              </w:rPr>
              <w:t xml:space="preserve">Week on Testing Date</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460" w:type="dxa"/>
            <w:tcBorders>
              <w:top w:val="single" w:sz="8" w:space="0" w:color="auto"/>
              <w:left w:val="nil"/>
              <w:bottom w:val="single" w:sz="8" w:space="0" w:color="auto"/>
              <w:right w:val="single" w:sz="8" w:space="0" w:color="auto"/>
            </w:tcBorders>
            <w:vAlign w:val="center"/>
          </w:tcPr>
          <w:p w14:paraId="678CD812"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None</w:t>
            </w:r>
          </w:p>
        </w:tc>
      </w:tr>
    </w:tbl>
    <w:p>
      <w:pPr>
        <w:spacing w:before="240" w:after="160"/>
        <w:rPr>
          <w:rFonts w:ascii="Times New Roman" w:hAnsi="Times New Roman"/>
          <w:b/>
          <w:u w:val="single"/>
          <w:sz w:val="18"/>
          <w:szCs w:val="18"/>
        </w:rPr>
      </w:pPr>
      <w:r>
        <w:rPr>
          <w:rFonts w:ascii="Times New Roman" w:hAnsi="Times New Roman"/>
          <w:b/>
          <w:u w:val="single"/>
          <w:sz w:val="18"/>
          <w:szCs w:val="18"/>
        </w:rPr>
        <w:t>Table 3: Environmental Monitoring from Processing Performed on 15Sep26</w:t>
      </w:r>
    </w:p>
    <w:tbl>
      <w:tblPr>
        <w:tblW w:w="0" w:type="auto"/>
        <w:tblLook w:val="04A0" w:firstRow="1" w:lastRow="0" w:firstColumn="1" w:lastColumn="0" w:noHBand="0" w:noVBand="1"/>
      </w:tblPr>
      <w:tblGrid>
        <w:gridCol w:w="991"/>
        <w:gridCol w:w="115"/>
        <w:gridCol w:w="652"/>
        <w:gridCol w:w="1129"/>
        <w:gridCol w:w="999"/>
        <w:gridCol w:w="41"/>
        <w:gridCol w:w="670"/>
        <w:gridCol w:w="29"/>
        <w:gridCol w:w="1415"/>
        <w:gridCol w:w="1413"/>
        <w:gridCol w:w="1353"/>
        <w:gridCol w:w="13"/>
        <w:gridCol w:w="520"/>
      </w:tblGrid>
      <w:tr w:rsidR="004174A6" w14:paraId="48CC40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4EE893A"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(EM) Sampling Site</w:t>
            </w:r>
          </w:p>
        </w:tc>
        <w:tc>
          <w:tcPr>
            <w:tcW w:w="69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E13687B" w14:textId="77777777" w:rsidR="004174A6" w:rsidRDefault="004174A6" w:rsidP="00780543">
            <w:pPr>
              <w:jc w:val="center"/>
            </w:pPr>
            <w:r w:rsidRPr="7D3A0560">
              <w:rPr>
                <w:b/>
                <w:bCs/>
                <w:color w:val="000000" w:themeColor="text1"/>
                <w:sz w:val="12"/>
                <w:szCs w:val="12"/>
                <w:rFonts w:ascii="Times New Roman" w:hAnsi="Times New Roman" w:cs="Times New Roman"/>
              </w:rPr>
              <w:t>Frequency</w:t>
            </w:r>
          </w:p>
        </w:tc>
        <w:tc>
          <w:tcPr>
            <w:tcW w:w="1206"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Date (DDMMMYY)</w:t>
            </w:r>
          </w:p>
        </w:tc>
        <w:tc>
          <w:tcPr>
            <w:tcW w:w="116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Analyst (Initials)</w:t>
            </w:r>
          </w:p>
        </w:tc>
        <w:tc>
          <w:tcPr>
            <w:tcW w:w="581"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0C85F60C" w14:textId="77777777" w:rsidR="004174A6" w:rsidRDefault="004174A6" w:rsidP="00780543">
            <w:pPr>
              <w:jc w:val="center"/>
            </w:pPr>
            <w:r w:rsidRPr="7D3A0560">
              <w:rPr>
                <w:b/>
                <w:bCs/>
                <w:color w:val="000000" w:themeColor="text1"/>
                <w:sz w:val="12"/>
                <w:szCs w:val="12"/>
                <w:rFonts w:ascii="Times New Roman" w:hAnsi="Times New Roman" w:cs="Times New Roman"/>
              </w:rPr>
              <w:t>Day /Week(s)</w:t>
            </w:r>
          </w:p>
        </w:tc>
        <w:tc>
          <w:tcPr>
            <w:tcW w:w="1505"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3CEC99" w14:textId="77777777" w:rsidR="004174A6" w:rsidRDefault="004174A6" w:rsidP="00780543">
            <w:pPr>
              <w:jc w:val="center"/>
            </w:pPr>
            <w:r w:rsidRPr="7D3A0560">
              <w:rPr>
                <w:b/>
                <w:bCs/>
                <w:color w:val="000000" w:themeColor="text1"/>
                <w:sz w:val="12"/>
                <w:szCs w:val="12"/>
                <w:rFonts w:ascii="Times New Roman" w:hAnsi="Times New Roman" w:cs="Times New Roman"/>
              </w:rPr>
              <w:t>Observation*</w:t>
            </w:r>
          </w:p>
        </w:tc>
        <w:tc>
          <w:tcPr>
            <w:tcW w:w="1444"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5E4D72EF"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Plate ETX ID</w:t>
            </w:r>
          </w:p>
        </w:tc>
        <w:tc>
          <w:tcPr>
            <w:tcW w:w="139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C3F345B" w14:textId="77777777" w:rsidR="004174A6" w:rsidRDefault="004174A6" w:rsidP="00780543">
            <w:pPr>
              <w:jc w:val="center"/>
            </w:pPr>
            <w:r w:rsidRPr="7D3A0560">
              <w:rPr>
                <w:b/>
                <w:bCs/>
                <w:color w:val="000000" w:themeColor="text1"/>
                <w:sz w:val="12"/>
                <w:szCs w:val="12"/>
                <w:rFonts w:ascii="Times New Roman" w:hAnsi="Times New Roman" w:cs="Times New Roman"/>
              </w:rPr>
              <w:t>Microbial ID</w:t>
            </w:r>
          </w:p>
        </w:tc>
        <w:tc>
          <w:tcPr>
            <w:tcW w:w="507"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FC878B9" w14:textId="77777777" w:rsidR="004174A6" w:rsidRDefault="004174A6" w:rsidP="00780543">
            <w:pPr>
              <w:jc w:val="center"/>
            </w:pPr>
            <w:r w:rsidRPr="7D3A0560">
              <w:rPr>
                <w:b/>
                <w:bCs/>
                <w:color w:val="000000" w:themeColor="text1"/>
                <w:sz w:val="12"/>
                <w:szCs w:val="12"/>
                <w:rFonts w:ascii="Times New Roman" w:hAnsi="Times New Roman" w:cs="Times New Roman"/>
              </w:rPr>
              <w:t xml:space="preserve">Notes </w:t>
            </w:r>
          </w:p>
        </w:tc>
      </w:tr>
      <w:tr w:rsidR="004174A6" w14:paraId="1F287093"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EC3F8B0" w14:textId="77777777" w:rsidR="004174A6" w:rsidRDefault="004174A6" w:rsidP="00780543">
            <w:r w:rsidRPr="7D3A0560">
              <w:rPr>
                <w:b/>
                <w:bCs/>
                <w:color w:val="000000" w:themeColor="text1"/>
                <w:sz w:val="14"/>
                <w:szCs w:val="14"/>
                <w:rFonts w:ascii="Times New Roman" w:hAnsi="Times New Roman" w:cs="Times New Roman"/>
              </w:rPr>
              <w:t xml:space="preserve"> Personnel EM Bracketing</w:t>
            </w:r>
          </w:p>
        </w:tc>
      </w:tr>
      <w:tr w:rsidR="004174A6" w14:paraId="436D1F2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6D737BCF"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1AE30"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A2D4FDD"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8A87F0"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634F6010"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517715"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23EE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4F77BC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1D5E72"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7F9134A6"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7253800"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9E2514F"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372BD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D1A05"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3C7AA427"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Biological Safety Cabinet EM Bracketing - ISO 5 BSC E001314 (Suite 115)</w:t>
            </w:r>
          </w:p>
        </w:tc>
      </w:tr>
      <w:tr w:rsidR="004174A6" w14:paraId="694809FD"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47F82E8E"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1EE058"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564E0DC"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4F444"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1C095F4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B42959"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w:t>
            </w:r>
          </w:p>
          <w:p w14:paraId="19A2E72B" w14:textId="77777777" w:rsidR="004174A6" w:rsidRDefault="004174A6" w:rsidP="00780543">
            <w:pPr>
              <w:jc w:val="center"/>
            </w:pPr>
            <w:r w:rsidRPr="7D3A0560">
              <w:rPr>
                <w:color w:val="000000" w:themeColor="text1"/>
                <w:sz w:val="14"/>
                <w:szCs w:val="14"/>
                <w:rFonts w:ascii="Times New Roman" w:hAnsi="Times New Roman" w:cs="Times New Roman"/>
              </w:rPr>
              <w:t>(4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98B1A11"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1B8BF0F"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240BF3A"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74150F0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98441D"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279DDE9"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FA5490"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E6200E"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231FB9D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EDD2BC"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BA5ED2"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BB28C0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3369F0"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4239C6E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8433F"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AA883D5"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2EB37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95163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693C1A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8F8B44"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DE8E4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53401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A1B08C"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57A38D3C"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Active Air Sampling Bracketing (Suite 115)</w:t>
            </w:r>
          </w:p>
        </w:tc>
      </w:tr>
      <w:tr w:rsidR="004174A6" w14:paraId="74B74A9B" w14:textId="77777777" w:rsidTr="00780543">
        <w:trPr>
          <w:trHeight w:val="300"/>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FDF4CBD" w14:textId="77777777" w:rsidR="004174A6" w:rsidRDefault="004174A6" w:rsidP="00780543">
            <w:pPr>
              <w:jc w:val="center"/>
            </w:pPr>
            <w:r w:rsidRPr="7D3A0560">
              <w:rPr>
                <w:color w:val="000000" w:themeColor="text1"/>
                <w:sz w:val="14"/>
                <w:szCs w:val="14"/>
                <w:rFonts w:ascii="Times New Roman" w:hAnsi="Times New Roman" w:cs="Times New Roman"/>
              </w:rPr>
              <w:t>Active Air Sampling of Cleanrooms</w:t>
            </w:r>
          </w:p>
        </w:tc>
        <w:tc>
          <w:tcPr>
            <w:tcW w:w="566" w:type="dxa"/>
            <w:tcBorders>
              <w:top w:val="single" w:sz="8" w:space="0" w:color="auto"/>
              <w:left w:val="nil"/>
              <w:bottom w:val="single" w:sz="8" w:space="0" w:color="auto"/>
              <w:right w:val="single" w:sz="8" w:space="0" w:color="auto"/>
            </w:tcBorders>
            <w:vAlign w:val="center"/>
          </w:tcPr>
          <w:p w14:paraId="548FA163"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SMO</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59849C41" w14:textId="77777777" w:rsidR="004174A6" w:rsidRDefault="004174A6" w:rsidP="00780543">
            <w:pPr>
              <w:jc w:val="center"/>
            </w:pPr>
            <w:r w:rsidRPr="7D3A0560">
              <w:rPr>
                <w:color w:val="000000" w:themeColor="text1"/>
                <w:sz w:val="14"/>
                <w:szCs w:val="14"/>
                <w:rFonts w:ascii="Times New Roman" w:hAnsi="Times New Roman" w:cs="Times New Roman"/>
              </w:rPr>
              <w:t xml:space="preserve">Week on Testing Date</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9 CFUs</w:t>
            </w:r>
          </w:p>
          <w:p>
            <w:pPr>
              <w:jc w:val="center"/>
              <w:spacing w:before="0" w:after="0" w:line="220" w:lineRule="auto"/>
              <w:rPr>
                <w:rFonts w:ascii="Times New Roman" w:hAnsi="Times New Roman"/>
                <w:sz w:val="14"/>
                <w:szCs w:val="14"/>
              </w:rPr>
            </w:pPr>
            <w:r>
              <w:rPr>
                <w:sz w:val="14"/>
                <w:szCs w:val="14"/>
                <w:rFonts w:ascii="Times New Roman" w:hAnsi="Times New Roman" w:cs="Times New Roman"/>
              </w:rPr>
              <w:t>(ISO 8 115)</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4"/>
                <w:szCs w:val="14"/>
              </w:rPr>
            </w:pPr>
            <w:hyperlink r:id="rId12" w:history="1">
              <w:r>
                <w:rPr>
                  <w:rFonts w:ascii="Times New Roman" w:hAnsi="Times New Roman"/>
                  <w:color w:val="0000FF"/>
                  <w:sz w:val="14"/>
                  <w:szCs w:val="14"/>
                  <w:u w:val="single"/>
                </w:rPr>
                <w:t>ETX-260923-0402</w:t>
              </w:r>
            </w:hyperlink>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Kocuria indica</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Brevibacterium sp. CS2</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Corynebacterium sp</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Micrococcus luteus</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Paracoccus yeei</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Staphylococcus hominis</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Kocuria rhizophila</w:t>
            </w:r>
          </w:p>
        </w:tc>
        <w:tc>
          <w:tcPr>
            <w:tcW w:w="460" w:type="dxa"/>
            <w:tcBorders>
              <w:top w:val="single" w:sz="8" w:space="0" w:color="auto"/>
              <w:left w:val="nil"/>
              <w:bottom w:val="single" w:sz="8" w:space="0" w:color="auto"/>
              <w:right w:val="single" w:sz="8" w:space="0" w:color="auto"/>
            </w:tcBorders>
            <w:vAlign w:val="center"/>
          </w:tcPr>
          <w:p w14:paraId="5AA4860B"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 xml:space="preserve">None </w:t>
            </w:r>
          </w:p>
        </w:tc>
      </w:tr>
      <w:tr w:rsidR="004174A6" w14:paraId="00C75E11"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Surface Sampling of Cleanrooms Bracketing (Suite 115)</w:t>
            </w:r>
          </w:p>
        </w:tc>
      </w:tr>
      <w:tr w:rsidR="004174A6" w14:paraId="214A14F0" w14:textId="77777777" w:rsidTr="00780543">
        <w:trPr>
          <w:trHeight w:val="255"/>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8932D4F" w14:textId="77777777" w:rsidR="004174A6" w:rsidRDefault="004174A6" w:rsidP="00780543">
            <w:pPr>
              <w:jc w:val="center"/>
            </w:pPr>
            <w:r w:rsidRPr="7D3A0560">
              <w:rPr>
                <w:color w:val="000000" w:themeColor="text1"/>
                <w:sz w:val="14"/>
                <w:szCs w:val="14"/>
                <w:rFonts w:ascii="Times New Roman" w:hAnsi="Times New Roman" w:cs="Times New Roman"/>
              </w:rPr>
              <w:t>Surface Sampling of Cleanrooms</w:t>
            </w:r>
          </w:p>
        </w:tc>
        <w:tc>
          <w:tcPr>
            <w:tcW w:w="566" w:type="dxa"/>
            <w:tcBorders>
              <w:top w:val="single" w:sz="8" w:space="0" w:color="auto"/>
              <w:left w:val="nil"/>
              <w:bottom w:val="single" w:sz="8" w:space="0" w:color="auto"/>
              <w:right w:val="single" w:sz="8" w:space="0" w:color="auto"/>
            </w:tcBorders>
            <w:vAlign w:val="center"/>
          </w:tcPr>
          <w:p w14:paraId="613DF78E"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SMO</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710A0AA1" w14:textId="77777777" w:rsidR="004174A6" w:rsidRDefault="004174A6" w:rsidP="00780543">
            <w:pPr>
              <w:jc w:val="center"/>
            </w:pPr>
            <w:r w:rsidRPr="7D3A0560">
              <w:rPr>
                <w:color w:val="000000" w:themeColor="text1"/>
                <w:sz w:val="14"/>
                <w:szCs w:val="14"/>
                <w:rFonts w:ascii="Times New Roman" w:hAnsi="Times New Roman" w:cs="Times New Roman"/>
              </w:rPr>
              <w:t xml:space="preserve">Week on Testing Date</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460" w:type="dxa"/>
            <w:tcBorders>
              <w:top w:val="single" w:sz="8" w:space="0" w:color="auto"/>
              <w:left w:val="nil"/>
              <w:bottom w:val="single" w:sz="8" w:space="0" w:color="auto"/>
              <w:right w:val="single" w:sz="8" w:space="0" w:color="auto"/>
            </w:tcBorders>
            <w:vAlign w:val="center"/>
          </w:tcPr>
          <w:p w14:paraId="678CD812"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