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>
        <w:rPr>
          <w:rFonts w:ascii="Times New Roman" w:hAnsi="Times New Roman"/>
          <w:b/>
          <w:sz w:val="18"/>
          <w:u w:val="single"/>
        </w:rPr>
        <w:t>Table 1: Information for ETX-260902-0505 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73B9917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  <w:rFonts w:ascii="Times New Roman" w:hAnsi="Times New Roman" w:cs="Times New Roman"/>
              </w:rPr>
              <w:t>Reading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Alex Saravia</w:t>
            </w:r>
          </w:p>
        </w:tc>
        <w:tc>
          <w:tcPr>
            <w:tcW w:w="155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  <w:rFonts w:ascii="Times New Roman" w:hAnsi="Times New Roman" w:cs="Times New Roman"/>
              </w:rPr>
              <w:t xml:space="preserve">Elysse Nioupin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7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ETX-260902-0505</w:t>
              </w:r>
            </w:hyperlink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8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ETX-260910-0290</w:t>
              </w:r>
            </w:hyperlink>
          </w:p>
        </w:tc>
        <w:tc>
          <w:tcPr>
            <w:tcW w:w="1540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1 x 100mL TSB bottle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>Microbacterium sp. PM5</w:t>
            </w:r>
            <w:r>
              <w:rPr>
                <w:rFonts w:ascii="Times New Roman" w:hAnsi="Times New Roman"/>
                <w:sz w:val="14"/>
                <w:szCs w:val="14"/>
              </w:rPr>
              <w:br/>
              <w:t>(Gram (+) rods)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 xml:space="preserve"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04Sep26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  <w:t>Personnel EM</w:t>
            </w:r>
          </w:p>
        </w:tc>
      </w:tr>
      <w:tr w:rsidR="004174A6" w14:paraId="436D1F2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03Sep26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04Sep26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  <w:t>Biological Safety Cabinet EM for E001316</w:t>
            </w:r>
          </w:p>
        </w:tc>
      </w:tr>
      <w:tr w:rsidR="004174A6" w14:paraId="694809F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03Sep26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04Sep26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03Sep26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04Sep26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AS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/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  <w:t>Weekly Active Air Sampling of Cleanroom Suite 114 (E001736) with Processing BSC</w:t>
            </w:r>
          </w:p>
        </w:tc>
      </w:tr>
      <w:tr w:rsidR="004174A6" w14:paraId="74B74A9B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 CFUs</w:t>
            </w:r>
          </w:p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9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ETX-260914-0487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i/>
                <w:iCs/>
                <w:sz w:val="13"/>
                <w:szCs w:val="13"/>
              </w:rPr>
              <w:t>Corynebacterium ureicelerivorans</w:t>
            </w:r>
          </w:p>
          <w:p>
            <w:pPr>
              <w:jc w:val="center"/>
              <w:spacing w:before="0" w:after="0" w:line="120" w:lineRule="auto"/>
              <w:rPr>
                <w:rFonts w:ascii="Times New Roman" w:hAnsi="Times New Roman"/>
                <w:sz w:val="13"/>
                <w:szCs w:val="13"/>
              </w:rPr>
            </w:pPr>
          </w:p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i/>
                <w:iCs/>
                <w:sz w:val="13"/>
                <w:szCs w:val="13"/>
              </w:rPr>
              <w:t>Mycobacterium grossiae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  <w:t>Weekly Surface Sampling of Cleanroom Suite 114 (E001736) with Processing BSC</w:t>
            </w:r>
          </w:p>
        </w:tc>
      </w:tr>
      <w:tr w:rsidR="004174A6" w14:paraId="214A14F0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/Details/%247Ydn%24JOiYgmsnaKjbxn-g__" TargetMode="External"/><Relationship Id="rId8" Type="http://schemas.openxmlformats.org/officeDocument/2006/relationships/hyperlink" Target="https://etrax.eagleanalytical.com/Submission/Details?id=oZa2TD1UI-0eAJOFysBJ3A__" TargetMode="External"/><Relationship Id="rId9" Type="http://schemas.openxmlformats.org/officeDocument/2006/relationships/hyperlink" Target="https://etrax.eagleanalytical.com/SubmissionTest/Details/fd3G2StZClcy1TP2ES6BL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  <dc:identifier/>
  <dc:language/>
</cp:coreProperties>
</file>