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Simin Mohammad (Written by: Maryam Naeem)</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07-May-2026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xml:space="preserve">18-May-2026</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xml:space="preserve">18-May-2026</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ETX-260518-0254</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Simin Mohammad</w:t>
              <w:br/>
              <w:t xml:space="preserve">(Weekly Active Air Sampling Analyst)</w:t>
              <w:br/>
              <w:t xml:space="preserve"/>
              <w:br/>
              <w:t xml:space="preserve">Samera A. Salim and Simin Mohammad</w:t>
              <w:br/>
              <w:t xml:space="preserve">(Weekly Active Air Sampling Plate Reader)</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EM SMO 116A Air 07MAY2026</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EM SMO 116A Air 07MAY2026</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Plate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The CFU count for the environmental monitoring plate exceeded the action level.</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MICRO-SOP-2</w:t>
              <w:br/>
            </w:r>
          </w:p>
        </w:tc>
        <w:tc>
          <w:tcPr>
            <w:tcW w:w="2809" w:type="dxa"/>
            <w:gridSpan w:val="5"/>
          </w:tcPr>
          <w:p>
            <w:r>
              <w:t>Effective Date:</w:t>
              <w:br/>
              <w:t>05 Aug 2025</w:t>
              <w:br/>
            </w:r>
          </w:p>
        </w:tc>
        <w:tc>
          <w:tcPr>
            <w:tcW w:w="1800" w:type="dxa"/>
            <w:gridSpan w:val="2"/>
          </w:tcPr>
          <w:p>
            <w:r>
              <w:t>SOP / Test Method Rev:</w:t>
              <w:br/>
              <w:t>15</w:t>
              <w:br/>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xml:space="preserve">18-May-2026</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Simin Mohammad and Samera A. Salim and Simin Mohammad were comprehensively interviewed.</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as per MICRO-SOP-2</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MICRO-SOP-2</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Information is available on Eagletrax under ETX-260518-0254</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the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xml:space="preserve">TSA Plate:</w:t>
              <w:br/>
              <w:t xml:space="preserve">1011543730</w:t>
            </w:r>
          </w:p>
        </w:tc>
        <w:tc>
          <w:tcPr>
            <w:tcW w:w="1800" w:type="dxa"/>
          </w:tcPr>
          <w:p>
            <w:r>
              <w:t xml:space="preserve">TSA Plate:</w:t>
              <w:br/>
              <w:t xml:space="preserve">29SEP2026</w:t>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Please see below</w:t>
            </w:r>
          </w:p>
        </w:tc>
        <w:tc>
          <w:tcPr>
            <w:tcW w:w="1800" w:type="dxa"/>
            <w:shd w:val="clear" w:color="auto" w:fill="FFFFFF" w:themeFill="background1"/>
          </w:tcPr>
          <w:p>
            <w:r>
              <w:t>Please see below</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r>
              <w:t xml:space="preserve">CR116 (E001738)</w:t>
            </w:r>
          </w:p>
        </w:tc>
        <w:tc>
          <w:tcPr>
            <w:tcW w:w="1800" w:type="dxa"/>
            <w:shd w:val="clear" w:color="auto" w:fill="FFFFFF" w:themeFill="background1"/>
          </w:tcPr>
          <w:p>
            <w:r>
              <w:t xml:space="preserve">December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N/A</w:t>
            </w:r>
          </w:p>
        </w:tc>
        <w:tc>
          <w:tcPr>
            <w:tcW w:w="1800" w:type="dxa"/>
            <w:shd w:val="clear" w:color="auto" w:fill="FFFFFF" w:themeFill="background1"/>
          </w:tcPr>
          <w:p>
            <w:r>
              <w:t>N/A</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Environmental Monitoring Summary:</w:t>
              <w:br/>
              <w:t xml:space="preserve">Weekly surface and active air sampling for CR116 for the previous week and following week of testing showed no microbial growth.</w:t>
              <w:br/>
              <w:t xml:space="preserve"/>
              <w:br/>
              <w:t xml:space="preserve">However, the Weekly Active Air Sampling for CR116 for the week of testing, performed on 07 May 2026 by analyst SMO, exhibited 748 CFUs on EM SMO 116A Air 07MAY2026, which were identified as Kocuria palustris (Gram (+) cocci). Routine monitoring on the date of testing showed no growth across other monitored locations.</w:t>
              <w:br/>
              <w:t xml:space="preserve"/>
              <w:br/>
              <w:t xml:space="preserve">During the interview with the analyst, they indicated that no obvious abnormalities or deviations in the testing procedure were observed. All materials were disinfected prior to testing. Moreover, the cleanroom suites in CR116 were thoroughly cleaned and prepared before initiating testing as per MICRO-SOP-2 and MICRO-SOP-9.</w:t>
              <w:br/>
              <w:t xml:space="preserve"/>
              <w:br/>
              <w:t xml:space="preserve">Monthly cleaning and disinfection of the cleanroom suite, including the ISO 8 anteroom (116), ISO 7 buffer room (116A), ISO 7 cleanroom (116B), and the ISO 5 biosafety cabinets located within Room 116B, were performed on 30 Apr 2026 by Analyst - Rey Estrada - in accordance with MICRO-SOP-9, Cleaning and Disinfecting Procedure for Microbiology. All H2O2 indicators passed, confirming the successful completion and effectiveness of the monthly cleaning and disinfection activities within Rooms 116, 116A, and 116B. Additionally, routine cleaning and disinfection were performed before and after the testing activity in accordance with MICRO-SOP-9.</w:t>
              <w:br/>
              <w:t xml:space="preserve"/>
              <w:br/>
              <w:t xml:space="preserve">It is important to note that no samples processed within that week in CR116 failed SCAN RDI testing that week.</w:t>
              <w:br/>
              <w:t xml:space="preserve"/>
              <w:br/>
              <w:t xml:space="preserve">Based on the available evidence, the recovery of 748 CFU of Kocuria palustris (Gram (+) cocci) from EM SMO 116A Air 07MAY2026 in 116A on the date of testing (07 May 2026) appears to be an isolated event. This assessment is supported by the absence of microbial recovery from surrounding monitored areas and negative routine monitoring results throughout the bracketing period.</w:t>
              <w:br/>
              <w:t xml:space="preserve"/>
              <w:br/>
              <w:t xml:space="preserve">The negative settling, personnel, and bracketing surface monitoring results demonstrate that the critical environment remained in a state of control. The available data do not support migration, persistence, or recurrence of contamination within CR116. Collectively, the evidence supports that the recovery was an isolated, transient, and non-recurring event, while established cleaning, disinfection, and aseptic controls remained effective.</w:t>
              <w:br/>
              <w:t xml:space="preserve"/>
              <w:b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ETX-260518-0254</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07-May-2026</w:t>
      </w:r>
    </w:p>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Eagle Analytical Internal EM</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EM SMO 116A Air 07MAY2026</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xml:space="preserve">ETX-260518-0254</w:t>
            </w:r>
          </w:p>
        </w:tc>
        <w:tc>
          <w:tcPr>
            <w:tcW w:type="dxa" w:w="1350"/>
            <w:tcMar>
              <w:top w:w="50" w:type="dxa"/>
              <w:bottom w:w="50" w:type="dxa"/>
              <w:left w:w="50" w:type="dxa"/>
              <w:right w:w="50" w:type="dxa"/>
            </w:tcMar>
          </w:tcPr>
          <w:p>
            <w:pPr>
              <w:jc w:val="center"/>
            </w:pPr>
            <w:r>
              <w:rPr>
                <w:rFonts w:ascii="Arial" w:hAnsi="Arial"/>
                <w:sz w:val="16"/>
              </w:rPr>
              <w:t xml:space="preserve">SMO 07-May-2026</w:t>
            </w:r>
          </w:p>
        </w:tc>
        <w:tc>
          <w:tcPr>
            <w:tcW w:type="dxa" w:w="1350"/>
            <w:tcMar>
              <w:top w:w="50" w:type="dxa"/>
              <w:bottom w:w="50" w:type="dxa"/>
              <w:left w:w="50" w:type="dxa"/>
              <w:right w:w="50" w:type="dxa"/>
            </w:tcMar>
          </w:tcPr>
          <w:p>
            <w:pPr>
              <w:jc w:val="center"/>
            </w:pPr>
            <w:r>
              <w:rPr>
                <w:rFonts w:ascii="Arial" w:hAnsi="Arial"/>
                <w:sz w:val="16"/>
              </w:rPr>
              <w:t xml:space="preserve">Weekly Active Air Sampling Plate (Cleanroom Suite 116A)</w:t>
            </w:r>
          </w:p>
        </w:tc>
        <w:tc>
          <w:tcPr>
            <w:tcW w:type="dxa" w:w="1350"/>
            <w:tcMar>
              <w:top w:w="50" w:type="dxa"/>
              <w:bottom w:w="50" w:type="dxa"/>
              <w:left w:w="50" w:type="dxa"/>
              <w:right w:w="50" w:type="dxa"/>
            </w:tcMar>
          </w:tcPr>
          <w:p>
            <w:pPr>
              <w:jc w:val="center"/>
            </w:pPr>
            <w:r>
              <w:rPr>
                <w:rFonts w:ascii="Arial" w:hAnsi="Arial"/>
                <w:sz w:val="16"/>
              </w:rPr>
              <w:t xml:space="preserve">MC</w:t>
            </w:r>
          </w:p>
        </w:tc>
        <w:tc>
          <w:tcPr>
            <w:tcW w:type="dxa" w:w="1350"/>
            <w:tcMar>
              <w:top w:w="50" w:type="dxa"/>
              <w:bottom w:w="50" w:type="dxa"/>
              <w:left w:w="50" w:type="dxa"/>
              <w:right w:w="50" w:type="dxa"/>
            </w:tcMar>
          </w:tcPr>
          <w:p>
            <w:pPr>
              <w:jc w:val="center"/>
            </w:pPr>
            <w:r>
              <w:rPr>
                <w:rFonts w:ascii="Arial" w:hAnsi="Arial"/>
                <w:sz w:val="16"/>
              </w:rPr>
              <w:t xml:space="preserve">No microbial growth was observed</w:t>
            </w:r>
          </w:p>
        </w:tc>
        <w:tc>
          <w:tcPr>
            <w:tcW w:type="dxa" w:w="1350"/>
            <w:tcMar>
              <w:top w:w="50" w:type="dxa"/>
              <w:bottom w:w="50" w:type="dxa"/>
              <w:left w:w="50" w:type="dxa"/>
              <w:right w:w="50" w:type="dxa"/>
            </w:tcMar>
          </w:tcPr>
          <w:p>
            <w:pPr>
              <w:jc w:val="center"/>
            </w:pPr>
            <w:r>
              <w:rPr>
                <w:rFonts w:ascii="Arial" w:hAnsi="Arial"/>
                <w:sz w:val="16"/>
              </w:rPr>
              <w:t xml:space="preserve">SMO</w:t>
            </w:r>
          </w:p>
        </w:tc>
        <w:tc>
          <w:tcPr>
            <w:tcW w:type="dxa" w:w="1350"/>
            <w:tcMar>
              <w:top w:w="50" w:type="dxa"/>
              <w:bottom w:w="50" w:type="dxa"/>
              <w:left w:w="50" w:type="dxa"/>
              <w:right w:w="50" w:type="dxa"/>
            </w:tcMar>
          </w:tcPr>
          <w:p>
            <w:pPr>
              <w:jc w:val="center"/>
            </w:pPr>
            <w:r>
              <w:rPr>
                <w:rFonts w:ascii="Arial" w:hAnsi="Arial"/>
                <w:sz w:val="16"/>
              </w:rPr>
              <w:t xml:space="preserve">748 CFU on EM SMO 116A Air 07MAY2026</w:t>
            </w:r>
          </w:p>
        </w:tc>
        <w:tc>
          <w:tcPr>
            <w:tcW w:type="dxa" w:w="1350"/>
            <w:tcMar>
              <w:top w:w="50" w:type="dxa"/>
              <w:bottom w:w="50" w:type="dxa"/>
              <w:left w:w="50" w:type="dxa"/>
              <w:right w:w="50" w:type="dxa"/>
            </w:tcMar>
          </w:tcPr>
          <w:p>
            <w:pPr>
              <w:jc w:val="left"/>
            </w:pPr>
            <w:r>
              <w:rPr>
                <w:rFonts w:ascii="Arial" w:hAnsi="Arial"/>
                <w:sz w:val="16"/>
              </w:rPr>
              <w:t xml:space="preserve">Kocuria palustris (Gram (+) cocci)</w:t>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06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07-May-2026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06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07-May-2026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06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07-May-2026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SMO</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06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06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261186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