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Default="009C0993" w:rsidP="009C0993">
      <w:pPr>
        <w:pStyle w:val="NoSpacing"/>
        <w:jc w:val="both"/>
        <w:rPr>
          <w:rFonts w:ascii="Arial" w:hAnsi="Arial" w:cs="Arial"/>
        </w:rPr>
      </w:pPr>
      <w:r w:rsidRPr="009C0993">
        <w:rPr>
          <w:rFonts w:ascii="Arial" w:hAnsi="Arial" w:cs="Arial"/>
        </w:rPr>
        <w:t>OBLIGASI DAN SAHAM</w:t>
      </w:r>
    </w:p>
    <w:p w:rsidR="009C0993" w:rsidRDefault="009C0993" w:rsidP="009C0993">
      <w:pPr>
        <w:pStyle w:val="NoSpacing"/>
        <w:jc w:val="both"/>
        <w:rPr>
          <w:rFonts w:ascii="Arial" w:hAnsi="Arial" w:cs="Arial"/>
        </w:rPr>
      </w:pPr>
    </w:p>
    <w:p w:rsidR="009C0993" w:rsidRDefault="009C0993" w:rsidP="009C0993">
      <w:pPr>
        <w:pStyle w:val="NoSpacing"/>
        <w:numPr>
          <w:ilvl w:val="0"/>
          <w:numId w:val="1"/>
        </w:numPr>
        <w:ind w:left="284" w:hanging="284"/>
        <w:jc w:val="both"/>
        <w:rPr>
          <w:rFonts w:ascii="Arial" w:hAnsi="Arial" w:cs="Arial"/>
        </w:rPr>
      </w:pPr>
      <w:r>
        <w:rPr>
          <w:rFonts w:ascii="Arial" w:hAnsi="Arial" w:cs="Arial"/>
        </w:rPr>
        <w:t>OBLIGASI</w:t>
      </w:r>
    </w:p>
    <w:p w:rsidR="0024326D" w:rsidRDefault="0024326D" w:rsidP="0024326D">
      <w:pPr>
        <w:pStyle w:val="NoSpacing"/>
        <w:ind w:left="284"/>
        <w:jc w:val="both"/>
        <w:rPr>
          <w:rFonts w:ascii="Arial" w:hAnsi="Arial" w:cs="Arial"/>
        </w:rPr>
      </w:pPr>
      <w:r>
        <w:rPr>
          <w:rFonts w:ascii="Arial" w:hAnsi="Arial" w:cs="Arial"/>
        </w:rPr>
        <w:t>Pengertian obligasi menurut para ahli</w:t>
      </w:r>
    </w:p>
    <w:p w:rsidR="0024326D" w:rsidRDefault="0024326D" w:rsidP="0024326D">
      <w:pPr>
        <w:pStyle w:val="NoSpacing"/>
        <w:ind w:left="284"/>
        <w:jc w:val="both"/>
        <w:rPr>
          <w:rFonts w:ascii="Arial" w:hAnsi="Arial" w:cs="Arial"/>
        </w:rPr>
      </w:pPr>
    </w:p>
    <w:p w:rsidR="00AF2BB9" w:rsidRPr="00AF2BB9" w:rsidRDefault="00AF2BB9" w:rsidP="00AF2BB9">
      <w:pPr>
        <w:pStyle w:val="NoSpacing"/>
        <w:ind w:left="284"/>
        <w:jc w:val="both"/>
        <w:rPr>
          <w:rFonts w:ascii="Arial" w:hAnsi="Arial" w:cs="Arial"/>
        </w:rPr>
      </w:pPr>
      <w:r w:rsidRPr="00AF2BB9">
        <w:rPr>
          <w:rFonts w:ascii="Arial" w:hAnsi="Arial" w:cs="Arial"/>
        </w:rPr>
        <w:t>Berk [2007:212]</w:t>
      </w:r>
    </w:p>
    <w:p w:rsidR="00AF2BB9" w:rsidRPr="00AF2BB9" w:rsidRDefault="00AF2BB9" w:rsidP="00AF2BB9">
      <w:pPr>
        <w:pStyle w:val="NoSpacing"/>
        <w:ind w:left="284"/>
        <w:jc w:val="both"/>
        <w:rPr>
          <w:rFonts w:ascii="Arial" w:hAnsi="Arial" w:cs="Arial"/>
        </w:rPr>
      </w:pPr>
      <w:r w:rsidRPr="00AF2BB9">
        <w:rPr>
          <w:rFonts w:ascii="Arial" w:hAnsi="Arial" w:cs="Arial"/>
        </w:rPr>
        <w:t>"Obligasi merupakan surat berharga yang diterbitkan (dijual) oleh perusahaan atau pemerintah untuk memperoleh dana dari investor dengan pemberian kompensasi berupa bunga yang dibayarkan berdasarkan perjanjian awal."</w:t>
      </w:r>
    </w:p>
    <w:p w:rsidR="00AF2BB9" w:rsidRPr="00AF2BB9" w:rsidRDefault="00AF2BB9" w:rsidP="00AF2BB9">
      <w:pPr>
        <w:pStyle w:val="NoSpacing"/>
        <w:ind w:left="284"/>
        <w:jc w:val="both"/>
        <w:rPr>
          <w:rFonts w:ascii="Arial" w:hAnsi="Arial" w:cs="Arial"/>
        </w:rPr>
      </w:pPr>
    </w:p>
    <w:p w:rsidR="00AF2BB9" w:rsidRPr="00AF2BB9" w:rsidRDefault="00AF2BB9" w:rsidP="00AF2BB9">
      <w:pPr>
        <w:pStyle w:val="NoSpacing"/>
        <w:ind w:left="284"/>
        <w:jc w:val="both"/>
        <w:rPr>
          <w:rFonts w:ascii="Arial" w:hAnsi="Arial" w:cs="Arial"/>
        </w:rPr>
      </w:pPr>
      <w:r w:rsidRPr="00AF2BB9">
        <w:rPr>
          <w:rFonts w:ascii="Arial" w:hAnsi="Arial" w:cs="Arial"/>
        </w:rPr>
        <w:t>Fahmi [2013:42]</w:t>
      </w:r>
    </w:p>
    <w:p w:rsidR="00AF2BB9" w:rsidRPr="00AF2BB9" w:rsidRDefault="00AF2BB9" w:rsidP="00AF2BB9">
      <w:pPr>
        <w:pStyle w:val="NoSpacing"/>
        <w:ind w:left="284"/>
        <w:jc w:val="both"/>
        <w:rPr>
          <w:rFonts w:ascii="Arial" w:hAnsi="Arial" w:cs="Arial"/>
        </w:rPr>
      </w:pPr>
      <w:r w:rsidRPr="00AF2BB9">
        <w:rPr>
          <w:rFonts w:ascii="Arial" w:hAnsi="Arial" w:cs="Arial"/>
        </w:rPr>
        <w:t>"Obligasi adalah surat berharga yang didalamnya tercantum berbagai hal yang menjelaskan tentang nilai nominal, tingkat kupon (suku bunga), nama penerbit, jangka waktu serta ketentuan ketentuan lain yang sesuai dengan perundang-undangan yang berlaku yang dijual kepada publik."</w:t>
      </w:r>
    </w:p>
    <w:p w:rsidR="00AF2BB9" w:rsidRPr="00AF2BB9" w:rsidRDefault="00AF2BB9" w:rsidP="00AF2BB9">
      <w:pPr>
        <w:pStyle w:val="NoSpacing"/>
        <w:ind w:left="284"/>
        <w:jc w:val="both"/>
        <w:rPr>
          <w:rFonts w:ascii="Arial" w:hAnsi="Arial" w:cs="Arial"/>
        </w:rPr>
      </w:pPr>
    </w:p>
    <w:p w:rsidR="00AF2BB9" w:rsidRPr="00AF2BB9" w:rsidRDefault="00AF2BB9" w:rsidP="00AF2BB9">
      <w:pPr>
        <w:pStyle w:val="NoSpacing"/>
        <w:ind w:left="284"/>
        <w:jc w:val="both"/>
        <w:rPr>
          <w:rFonts w:ascii="Arial" w:hAnsi="Arial" w:cs="Arial"/>
        </w:rPr>
      </w:pPr>
      <w:r w:rsidRPr="00AF2BB9">
        <w:rPr>
          <w:rFonts w:ascii="Arial" w:hAnsi="Arial" w:cs="Arial"/>
        </w:rPr>
        <w:t>Tandelilin [2010:40]</w:t>
      </w:r>
    </w:p>
    <w:p w:rsidR="00AF2BB9" w:rsidRPr="00AF2BB9" w:rsidRDefault="00AF2BB9" w:rsidP="00AF2BB9">
      <w:pPr>
        <w:pStyle w:val="NoSpacing"/>
        <w:ind w:left="284"/>
        <w:jc w:val="both"/>
        <w:rPr>
          <w:rFonts w:ascii="Arial" w:hAnsi="Arial" w:cs="Arial"/>
        </w:rPr>
      </w:pPr>
      <w:r w:rsidRPr="00AF2BB9">
        <w:rPr>
          <w:rFonts w:ascii="Arial" w:hAnsi="Arial" w:cs="Arial"/>
        </w:rPr>
        <w:t>"Obligasi merupakan sekuritas berisi janji untuk memberi pembayaran tetap sesuai jadwal yang telah ditetapkan."</w:t>
      </w:r>
    </w:p>
    <w:p w:rsidR="00AF2BB9" w:rsidRPr="00AF2BB9" w:rsidRDefault="00AF2BB9" w:rsidP="00AF2BB9">
      <w:pPr>
        <w:pStyle w:val="NoSpacing"/>
        <w:ind w:left="284"/>
        <w:jc w:val="both"/>
        <w:rPr>
          <w:rFonts w:ascii="Arial" w:hAnsi="Arial" w:cs="Arial"/>
        </w:rPr>
      </w:pPr>
    </w:p>
    <w:p w:rsidR="00AF2BB9" w:rsidRPr="00AF2BB9" w:rsidRDefault="00AF2BB9" w:rsidP="00AF2BB9">
      <w:pPr>
        <w:pStyle w:val="NoSpacing"/>
        <w:ind w:left="284"/>
        <w:jc w:val="both"/>
        <w:rPr>
          <w:rFonts w:ascii="Arial" w:hAnsi="Arial" w:cs="Arial"/>
        </w:rPr>
      </w:pPr>
      <w:r w:rsidRPr="00AF2BB9">
        <w:rPr>
          <w:rFonts w:ascii="Arial" w:hAnsi="Arial" w:cs="Arial"/>
        </w:rPr>
        <w:t>Pratomo dan Nugraha [2009]</w:t>
      </w:r>
    </w:p>
    <w:p w:rsidR="00AF2BB9" w:rsidRPr="00AF2BB9" w:rsidRDefault="00AF2BB9" w:rsidP="00AF2BB9">
      <w:pPr>
        <w:pStyle w:val="NoSpacing"/>
        <w:ind w:left="284"/>
        <w:jc w:val="both"/>
        <w:rPr>
          <w:rFonts w:ascii="Arial" w:hAnsi="Arial" w:cs="Arial"/>
        </w:rPr>
      </w:pPr>
      <w:r w:rsidRPr="00AF2BB9">
        <w:rPr>
          <w:rFonts w:ascii="Arial" w:hAnsi="Arial" w:cs="Arial"/>
        </w:rPr>
        <w:t>"Obligasi merupakan surat hutang berjangka waktu lebih dari satu (1) tahun dengan tingkat suku bunga tertentu yang diterbitkan oleh perusahaan atau pemerintah untuk memperoleh dana dari masyarakat yang nantinya akan digunakan untuk pembiayaan perusahaan atau anggaran pemerintah."</w:t>
      </w:r>
    </w:p>
    <w:p w:rsidR="00AF2BB9" w:rsidRPr="00AF2BB9" w:rsidRDefault="00AF2BB9" w:rsidP="00AF2BB9">
      <w:pPr>
        <w:pStyle w:val="NoSpacing"/>
        <w:ind w:left="284"/>
        <w:jc w:val="both"/>
        <w:rPr>
          <w:rFonts w:ascii="Arial" w:hAnsi="Arial" w:cs="Arial"/>
        </w:rPr>
      </w:pPr>
    </w:p>
    <w:p w:rsidR="00AF2BB9" w:rsidRPr="00AF2BB9" w:rsidRDefault="00AF2BB9" w:rsidP="00AF2BB9">
      <w:pPr>
        <w:pStyle w:val="NoSpacing"/>
        <w:ind w:left="284"/>
        <w:jc w:val="both"/>
        <w:rPr>
          <w:rFonts w:ascii="Arial" w:hAnsi="Arial" w:cs="Arial"/>
        </w:rPr>
      </w:pPr>
      <w:r w:rsidRPr="00AF2BB9">
        <w:rPr>
          <w:rFonts w:ascii="Arial" w:hAnsi="Arial" w:cs="Arial"/>
        </w:rPr>
        <w:t>Yuliana dkk [2011]</w:t>
      </w:r>
    </w:p>
    <w:p w:rsidR="00AF2BB9" w:rsidRPr="00AF2BB9" w:rsidRDefault="00AF2BB9" w:rsidP="00AF2BB9">
      <w:pPr>
        <w:pStyle w:val="NoSpacing"/>
        <w:ind w:left="284"/>
        <w:jc w:val="both"/>
        <w:rPr>
          <w:rFonts w:ascii="Arial" w:hAnsi="Arial" w:cs="Arial"/>
        </w:rPr>
      </w:pPr>
      <w:r w:rsidRPr="00AF2BB9">
        <w:rPr>
          <w:rFonts w:ascii="Arial" w:hAnsi="Arial" w:cs="Arial"/>
        </w:rPr>
        <w:t>"Obligasi adalah surat tentang pengakuan hutang yang diterbitkan perusahaan atau pemerintah atau lembaga yang lain sebagai pihak yang berhutang. Memiliki nilai nominal dan kesanggupan dalam pembayaran bunga secara berkala dengan tingkat persentase atau bunga tertentu yang tetap."</w:t>
      </w:r>
    </w:p>
    <w:p w:rsidR="00AF2BB9" w:rsidRPr="00AF2BB9" w:rsidRDefault="00AF2BB9" w:rsidP="00AF2BB9">
      <w:pPr>
        <w:pStyle w:val="NoSpacing"/>
        <w:ind w:left="284"/>
        <w:jc w:val="both"/>
        <w:rPr>
          <w:rFonts w:ascii="Arial" w:hAnsi="Arial" w:cs="Arial"/>
        </w:rPr>
      </w:pPr>
    </w:p>
    <w:p w:rsidR="00AF2BB9" w:rsidRPr="00AF2BB9" w:rsidRDefault="00AF2BB9" w:rsidP="00AF2BB9">
      <w:pPr>
        <w:pStyle w:val="NoSpacing"/>
        <w:ind w:left="284"/>
        <w:jc w:val="both"/>
        <w:rPr>
          <w:rFonts w:ascii="Arial" w:hAnsi="Arial" w:cs="Arial"/>
        </w:rPr>
      </w:pPr>
      <w:r w:rsidRPr="00AF2BB9">
        <w:rPr>
          <w:rFonts w:ascii="Arial" w:hAnsi="Arial" w:cs="Arial"/>
        </w:rPr>
        <w:t>Frank J. Fabozzi</w:t>
      </w:r>
    </w:p>
    <w:p w:rsidR="00AF2BB9" w:rsidRDefault="00AF2BB9" w:rsidP="00AF2BB9">
      <w:pPr>
        <w:pStyle w:val="NoSpacing"/>
        <w:ind w:left="284"/>
        <w:jc w:val="both"/>
        <w:rPr>
          <w:rFonts w:ascii="Arial" w:hAnsi="Arial" w:cs="Arial"/>
        </w:rPr>
      </w:pPr>
      <w:r w:rsidRPr="00AF2BB9">
        <w:rPr>
          <w:rFonts w:ascii="Arial" w:hAnsi="Arial" w:cs="Arial"/>
        </w:rPr>
        <w:t>"Obligasi merupakan jenis hutang atau surat pengakuan utang sebuah perusahaan atau pemerintah yang akan dibayar lunas ketika waktu jatuh tempo sebesar jumlah nominalnya. Penghasilan yang bisa diperoleh dari sebuah obligasi adalah tingkat bunga yang dibayarkan oleh penerbit obligasi."</w:t>
      </w:r>
    </w:p>
    <w:p w:rsidR="00AF2BB9" w:rsidRDefault="00AF2BB9" w:rsidP="0024326D">
      <w:pPr>
        <w:pStyle w:val="NoSpacing"/>
        <w:ind w:left="284"/>
        <w:jc w:val="both"/>
        <w:rPr>
          <w:rFonts w:ascii="Arial" w:hAnsi="Arial" w:cs="Arial"/>
        </w:rPr>
      </w:pPr>
    </w:p>
    <w:p w:rsidR="009C0993" w:rsidRDefault="007963A8" w:rsidP="009C0993">
      <w:pPr>
        <w:pStyle w:val="NoSpacing"/>
        <w:ind w:left="284"/>
        <w:jc w:val="both"/>
        <w:rPr>
          <w:rFonts w:ascii="Arial" w:hAnsi="Arial" w:cs="Arial"/>
        </w:rPr>
      </w:pPr>
      <w:r>
        <w:rPr>
          <w:rFonts w:ascii="Arial" w:hAnsi="Arial" w:cs="Arial"/>
        </w:rPr>
        <w:t>Obligasi (Bonds)</w:t>
      </w:r>
      <w:r w:rsidR="004D67AE">
        <w:rPr>
          <w:rFonts w:ascii="Arial" w:hAnsi="Arial" w:cs="Arial"/>
        </w:rPr>
        <w:t>, merupakan surat utang jangka panjang (biasanya lima tahun ke atas) dengan kurun waktu yang telah ditentukan untuk pengembalian dana dengan pembayaran bunga secara berkala</w:t>
      </w:r>
      <w:r w:rsidR="008B398C">
        <w:rPr>
          <w:rFonts w:ascii="Arial" w:hAnsi="Arial" w:cs="Arial"/>
        </w:rPr>
        <w:t>.</w:t>
      </w:r>
    </w:p>
    <w:p w:rsidR="008B398C" w:rsidRDefault="008B398C" w:rsidP="009C0993">
      <w:pPr>
        <w:pStyle w:val="NoSpacing"/>
        <w:ind w:left="284"/>
        <w:jc w:val="both"/>
        <w:rPr>
          <w:rFonts w:ascii="Arial" w:hAnsi="Arial" w:cs="Arial"/>
        </w:rPr>
      </w:pPr>
    </w:p>
    <w:p w:rsidR="008B398C" w:rsidRDefault="008B398C" w:rsidP="009C0993">
      <w:pPr>
        <w:pStyle w:val="NoSpacing"/>
        <w:ind w:left="284"/>
        <w:jc w:val="both"/>
        <w:rPr>
          <w:rFonts w:ascii="Arial" w:hAnsi="Arial" w:cs="Arial"/>
        </w:rPr>
      </w:pPr>
      <w:r w:rsidRPr="008B398C">
        <w:rPr>
          <w:rFonts w:ascii="Arial" w:hAnsi="Arial" w:cs="Arial"/>
        </w:rPr>
        <w:t>Kupon obligasi adalah tingkat bunga pinjaman obligasi yang harus dibayarkan oleh debitur kepada kreditur.</w:t>
      </w:r>
    </w:p>
    <w:p w:rsidR="004D67AE" w:rsidRDefault="004D67AE" w:rsidP="009C0993">
      <w:pPr>
        <w:pStyle w:val="NoSpacing"/>
        <w:ind w:left="284"/>
        <w:jc w:val="both"/>
        <w:rPr>
          <w:rFonts w:ascii="Arial" w:hAnsi="Arial" w:cs="Arial"/>
        </w:rPr>
      </w:pPr>
    </w:p>
    <w:p w:rsidR="004D67AE" w:rsidRDefault="004D67AE" w:rsidP="008B398C">
      <w:pPr>
        <w:pStyle w:val="NoSpacing"/>
        <w:numPr>
          <w:ilvl w:val="0"/>
          <w:numId w:val="2"/>
        </w:numPr>
        <w:ind w:left="567" w:hanging="283"/>
        <w:jc w:val="both"/>
        <w:rPr>
          <w:rFonts w:ascii="Arial" w:hAnsi="Arial" w:cs="Arial"/>
        </w:rPr>
      </w:pPr>
      <w:r>
        <w:rPr>
          <w:rFonts w:ascii="Arial" w:hAnsi="Arial" w:cs="Arial"/>
        </w:rPr>
        <w:t xml:space="preserve">Jenis Obligasi </w:t>
      </w:r>
    </w:p>
    <w:p w:rsidR="00EE4A06" w:rsidRDefault="00EE4A06" w:rsidP="0025475F">
      <w:pPr>
        <w:pStyle w:val="NoSpacing"/>
        <w:numPr>
          <w:ilvl w:val="1"/>
          <w:numId w:val="2"/>
        </w:numPr>
        <w:ind w:left="993" w:hanging="426"/>
        <w:jc w:val="both"/>
        <w:rPr>
          <w:rFonts w:ascii="Arial" w:hAnsi="Arial" w:cs="Arial"/>
        </w:rPr>
      </w:pPr>
      <w:r>
        <w:rPr>
          <w:rFonts w:ascii="Arial" w:hAnsi="Arial" w:cs="Arial"/>
        </w:rPr>
        <w:t>Berdasarkan penerbitnya</w:t>
      </w:r>
    </w:p>
    <w:p w:rsidR="004D67AE" w:rsidRDefault="004D67AE" w:rsidP="00EE4A06">
      <w:pPr>
        <w:pStyle w:val="NoSpacing"/>
        <w:numPr>
          <w:ilvl w:val="2"/>
          <w:numId w:val="4"/>
        </w:numPr>
        <w:ind w:left="1418" w:hanging="425"/>
        <w:jc w:val="both"/>
        <w:rPr>
          <w:rFonts w:ascii="Arial" w:hAnsi="Arial" w:cs="Arial"/>
        </w:rPr>
      </w:pPr>
      <w:r>
        <w:rPr>
          <w:rFonts w:ascii="Arial" w:hAnsi="Arial" w:cs="Arial"/>
        </w:rPr>
        <w:t>Obligasi Pemerintah</w:t>
      </w:r>
    </w:p>
    <w:p w:rsidR="00EE4A06" w:rsidRDefault="00EE4A06" w:rsidP="00EE4A06">
      <w:pPr>
        <w:pStyle w:val="NoSpacing"/>
        <w:numPr>
          <w:ilvl w:val="3"/>
          <w:numId w:val="4"/>
        </w:numPr>
        <w:ind w:left="1843" w:hanging="425"/>
        <w:jc w:val="both"/>
        <w:rPr>
          <w:rFonts w:ascii="Arial" w:hAnsi="Arial" w:cs="Arial"/>
        </w:rPr>
      </w:pPr>
      <w:r>
        <w:rPr>
          <w:rFonts w:ascii="Arial" w:hAnsi="Arial" w:cs="Arial"/>
        </w:rPr>
        <w:t>Obligasi Rekap adalah Obligasi yang bertujuan untuk Program Rekapitalisasi Perbankan;</w:t>
      </w:r>
    </w:p>
    <w:p w:rsidR="00EE4A06" w:rsidRDefault="00EE4A06" w:rsidP="00EE4A06">
      <w:pPr>
        <w:pStyle w:val="NoSpacing"/>
        <w:numPr>
          <w:ilvl w:val="3"/>
          <w:numId w:val="4"/>
        </w:numPr>
        <w:ind w:left="1843" w:hanging="425"/>
        <w:jc w:val="both"/>
        <w:rPr>
          <w:rFonts w:ascii="Arial" w:hAnsi="Arial" w:cs="Arial"/>
        </w:rPr>
      </w:pPr>
      <w:r>
        <w:rPr>
          <w:rFonts w:ascii="Arial" w:hAnsi="Arial" w:cs="Arial"/>
        </w:rPr>
        <w:t>Obligasi Ritel Indonesia adalah Obligasi yang bertujuan untuk menutup defist APBN. Obligasi ini bernominal kecil agar bisa dibeli secara ritel;</w:t>
      </w:r>
    </w:p>
    <w:p w:rsidR="00EE4A06" w:rsidRDefault="00EE4A06" w:rsidP="00EE4A06">
      <w:pPr>
        <w:pStyle w:val="NoSpacing"/>
        <w:numPr>
          <w:ilvl w:val="3"/>
          <w:numId w:val="4"/>
        </w:numPr>
        <w:ind w:left="1843" w:hanging="425"/>
        <w:jc w:val="both"/>
        <w:rPr>
          <w:rFonts w:ascii="Arial" w:hAnsi="Arial" w:cs="Arial"/>
        </w:rPr>
      </w:pPr>
      <w:r>
        <w:rPr>
          <w:rFonts w:ascii="Arial" w:hAnsi="Arial" w:cs="Arial"/>
        </w:rPr>
        <w:t xml:space="preserve">Surat Utang Negara adalah surat utang </w:t>
      </w:r>
      <w:r>
        <w:rPr>
          <w:rFonts w:ascii="Arial" w:hAnsi="Arial" w:cs="Arial"/>
        </w:rPr>
        <w:t>bertujuan untuk menutup defist APBN</w:t>
      </w:r>
      <w:r w:rsidR="00013CC1">
        <w:rPr>
          <w:rFonts w:ascii="Arial" w:hAnsi="Arial" w:cs="Arial"/>
        </w:rPr>
        <w:t>;</w:t>
      </w:r>
    </w:p>
    <w:p w:rsidR="00EE4A06" w:rsidRDefault="00EE4A06" w:rsidP="00EE4A06">
      <w:pPr>
        <w:pStyle w:val="NoSpacing"/>
        <w:numPr>
          <w:ilvl w:val="3"/>
          <w:numId w:val="4"/>
        </w:numPr>
        <w:ind w:left="1843" w:hanging="425"/>
        <w:jc w:val="both"/>
        <w:rPr>
          <w:rFonts w:ascii="Arial" w:hAnsi="Arial" w:cs="Arial"/>
        </w:rPr>
      </w:pPr>
      <w:r>
        <w:rPr>
          <w:rFonts w:ascii="Arial" w:hAnsi="Arial" w:cs="Arial"/>
        </w:rPr>
        <w:lastRenderedPageBreak/>
        <w:t xml:space="preserve">Sukuk (Obligasi Syariah) adalah </w:t>
      </w:r>
      <w:r>
        <w:rPr>
          <w:rFonts w:ascii="Arial" w:hAnsi="Arial" w:cs="Arial"/>
        </w:rPr>
        <w:t>utang bertujuan untuk menutup defist APBN</w:t>
      </w:r>
      <w:r>
        <w:rPr>
          <w:rFonts w:ascii="Arial" w:hAnsi="Arial" w:cs="Arial"/>
        </w:rPr>
        <w:t xml:space="preserve"> namun dengan berdasarkan pada prinsip syariah</w:t>
      </w:r>
      <w:r w:rsidR="00013CC1">
        <w:rPr>
          <w:rFonts w:ascii="Arial" w:hAnsi="Arial" w:cs="Arial"/>
        </w:rPr>
        <w:t>;</w:t>
      </w:r>
    </w:p>
    <w:p w:rsidR="004D67AE" w:rsidRDefault="004D67AE" w:rsidP="00EE4A06">
      <w:pPr>
        <w:pStyle w:val="NoSpacing"/>
        <w:numPr>
          <w:ilvl w:val="2"/>
          <w:numId w:val="4"/>
        </w:numPr>
        <w:ind w:left="1418" w:hanging="425"/>
        <w:jc w:val="both"/>
        <w:rPr>
          <w:rFonts w:ascii="Arial" w:hAnsi="Arial" w:cs="Arial"/>
        </w:rPr>
      </w:pPr>
      <w:r>
        <w:rPr>
          <w:rFonts w:ascii="Arial" w:hAnsi="Arial" w:cs="Arial"/>
        </w:rPr>
        <w:t>Obligasi Swasta</w:t>
      </w:r>
    </w:p>
    <w:p w:rsidR="004D67AE" w:rsidRDefault="004D67AE" w:rsidP="00013CC1">
      <w:pPr>
        <w:pStyle w:val="NoSpacing"/>
        <w:numPr>
          <w:ilvl w:val="3"/>
          <w:numId w:val="5"/>
        </w:numPr>
        <w:ind w:left="1843" w:hanging="425"/>
        <w:jc w:val="both"/>
        <w:rPr>
          <w:rFonts w:ascii="Arial" w:hAnsi="Arial" w:cs="Arial"/>
        </w:rPr>
      </w:pPr>
      <w:r>
        <w:rPr>
          <w:rFonts w:ascii="Arial" w:hAnsi="Arial" w:cs="Arial"/>
        </w:rPr>
        <w:t>Secure and Unsecure Bonds</w:t>
      </w:r>
      <w:r w:rsidR="00013CC1">
        <w:rPr>
          <w:rFonts w:ascii="Arial" w:hAnsi="Arial" w:cs="Arial"/>
        </w:rPr>
        <w:t xml:space="preserve">. </w:t>
      </w:r>
      <w:r w:rsidR="00013CC1" w:rsidRPr="00013CC1">
        <w:rPr>
          <w:rFonts w:ascii="Arial" w:hAnsi="Arial" w:cs="Arial"/>
        </w:rPr>
        <w:t>Secure bond merupakan obligasi yang terdapat jaminan aset perusahaan tertentu seperti tanah, pabrik, gedung. Sedangkan Unsecured bond merupakan obligasi yang diterbitkan dngan kredit umum oleh penerbit</w:t>
      </w:r>
      <w:r w:rsidR="00013CC1">
        <w:rPr>
          <w:rFonts w:ascii="Arial" w:hAnsi="Arial" w:cs="Arial"/>
        </w:rPr>
        <w:t>;</w:t>
      </w:r>
    </w:p>
    <w:p w:rsidR="004D67AE" w:rsidRDefault="004D67AE" w:rsidP="00344FFC">
      <w:pPr>
        <w:pStyle w:val="NoSpacing"/>
        <w:numPr>
          <w:ilvl w:val="3"/>
          <w:numId w:val="5"/>
        </w:numPr>
        <w:ind w:left="1843" w:hanging="425"/>
        <w:jc w:val="both"/>
        <w:rPr>
          <w:rFonts w:ascii="Arial" w:hAnsi="Arial" w:cs="Arial"/>
        </w:rPr>
      </w:pPr>
      <w:r>
        <w:rPr>
          <w:rFonts w:ascii="Arial" w:hAnsi="Arial" w:cs="Arial"/>
        </w:rPr>
        <w:t>Term and Serial Bonds</w:t>
      </w:r>
      <w:r w:rsidR="00013CC1">
        <w:rPr>
          <w:rFonts w:ascii="Arial" w:hAnsi="Arial" w:cs="Arial"/>
        </w:rPr>
        <w:t>. Term bonds adalah obligasi yang memiliki jangka waktu spesifik di masa depan. Serial bonds merupakan obligasi yang dibayar dengan cicilan;</w:t>
      </w:r>
    </w:p>
    <w:p w:rsidR="004D67AE" w:rsidRDefault="004D67AE" w:rsidP="00344FFC">
      <w:pPr>
        <w:pStyle w:val="NoSpacing"/>
        <w:numPr>
          <w:ilvl w:val="3"/>
          <w:numId w:val="5"/>
        </w:numPr>
        <w:ind w:left="1843" w:hanging="425"/>
        <w:jc w:val="both"/>
        <w:rPr>
          <w:rFonts w:ascii="Arial" w:hAnsi="Arial" w:cs="Arial"/>
        </w:rPr>
      </w:pPr>
      <w:r>
        <w:rPr>
          <w:rFonts w:ascii="Arial" w:hAnsi="Arial" w:cs="Arial"/>
        </w:rPr>
        <w:t>Register and Bearer Bonds</w:t>
      </w:r>
    </w:p>
    <w:p w:rsidR="004D67AE" w:rsidRDefault="004D67AE" w:rsidP="00344FFC">
      <w:pPr>
        <w:pStyle w:val="NoSpacing"/>
        <w:numPr>
          <w:ilvl w:val="3"/>
          <w:numId w:val="5"/>
        </w:numPr>
        <w:ind w:left="1843" w:hanging="425"/>
        <w:jc w:val="both"/>
        <w:rPr>
          <w:rFonts w:ascii="Arial" w:hAnsi="Arial" w:cs="Arial"/>
        </w:rPr>
      </w:pPr>
      <w:r>
        <w:rPr>
          <w:rFonts w:ascii="Arial" w:hAnsi="Arial" w:cs="Arial"/>
        </w:rPr>
        <w:t>Convertible and Callable Bonds</w:t>
      </w:r>
      <w:r w:rsidR="00DD213D">
        <w:rPr>
          <w:rFonts w:ascii="Arial" w:hAnsi="Arial" w:cs="Arial"/>
        </w:rPr>
        <w:t>. Convertible bonds merupakan obligasi yang bisa dikonversi menjadi saham biasa perusahaan. Callable bonds merupakan obligasi yang bisa ditarik dalam jumlah tertentu sebelum obligasi tersebut jatuh tempo.</w:t>
      </w:r>
    </w:p>
    <w:p w:rsidR="00DA1154" w:rsidRDefault="00DA1154" w:rsidP="0025475F">
      <w:pPr>
        <w:pStyle w:val="NoSpacing"/>
        <w:numPr>
          <w:ilvl w:val="1"/>
          <w:numId w:val="5"/>
        </w:numPr>
        <w:ind w:left="993" w:hanging="426"/>
        <w:jc w:val="both"/>
        <w:rPr>
          <w:rFonts w:ascii="Arial" w:hAnsi="Arial" w:cs="Arial"/>
        </w:rPr>
      </w:pPr>
      <w:r>
        <w:rPr>
          <w:rFonts w:ascii="Arial" w:hAnsi="Arial" w:cs="Arial"/>
        </w:rPr>
        <w:t>Berdasarkan kupon</w:t>
      </w:r>
    </w:p>
    <w:p w:rsidR="00DA1154" w:rsidRDefault="00312083" w:rsidP="00DA1154">
      <w:pPr>
        <w:pStyle w:val="NoSpacing"/>
        <w:numPr>
          <w:ilvl w:val="2"/>
          <w:numId w:val="6"/>
        </w:numPr>
        <w:ind w:left="1418" w:hanging="425"/>
        <w:jc w:val="both"/>
        <w:rPr>
          <w:rFonts w:ascii="Arial" w:hAnsi="Arial" w:cs="Arial"/>
        </w:rPr>
      </w:pPr>
      <w:r>
        <w:rPr>
          <w:rFonts w:ascii="Arial" w:hAnsi="Arial" w:cs="Arial"/>
        </w:rPr>
        <w:t xml:space="preserve">Coupon Bonds adalah obligasi yang memberikan </w:t>
      </w:r>
      <w:r w:rsidR="00F07E2F">
        <w:rPr>
          <w:rFonts w:ascii="Arial" w:hAnsi="Arial" w:cs="Arial"/>
        </w:rPr>
        <w:t xml:space="preserve">kupon dengan nilai </w:t>
      </w:r>
      <w:r w:rsidR="007560A5">
        <w:rPr>
          <w:rFonts w:ascii="Arial" w:hAnsi="Arial" w:cs="Arial"/>
        </w:rPr>
        <w:t>tertentu</w:t>
      </w:r>
      <w:r>
        <w:rPr>
          <w:rFonts w:ascii="Arial" w:hAnsi="Arial" w:cs="Arial"/>
        </w:rPr>
        <w:t xml:space="preserve"> </w:t>
      </w:r>
    </w:p>
    <w:p w:rsidR="00DA1154" w:rsidRDefault="00312083" w:rsidP="00312083">
      <w:pPr>
        <w:pStyle w:val="NoSpacing"/>
        <w:numPr>
          <w:ilvl w:val="2"/>
          <w:numId w:val="6"/>
        </w:numPr>
        <w:ind w:left="1418" w:hanging="425"/>
        <w:jc w:val="both"/>
        <w:rPr>
          <w:rFonts w:ascii="Arial" w:hAnsi="Arial" w:cs="Arial"/>
        </w:rPr>
      </w:pPr>
      <w:r>
        <w:rPr>
          <w:rFonts w:ascii="Arial" w:hAnsi="Arial" w:cs="Arial"/>
        </w:rPr>
        <w:t xml:space="preserve">Zero Coupon Bonds adalah </w:t>
      </w:r>
      <w:r w:rsidRPr="00312083">
        <w:rPr>
          <w:rFonts w:ascii="Arial" w:hAnsi="Arial" w:cs="Arial"/>
        </w:rPr>
        <w:t xml:space="preserve">obligasi yang tidak memberikan </w:t>
      </w:r>
      <w:r>
        <w:rPr>
          <w:rFonts w:ascii="Arial" w:hAnsi="Arial" w:cs="Arial"/>
        </w:rPr>
        <w:t>kupon (tetapi obligasi ini dijual dibawah nilai pari)</w:t>
      </w:r>
    </w:p>
    <w:p w:rsidR="00DA1154" w:rsidRDefault="00DA1154" w:rsidP="0025475F">
      <w:pPr>
        <w:pStyle w:val="NoSpacing"/>
        <w:numPr>
          <w:ilvl w:val="1"/>
          <w:numId w:val="5"/>
        </w:numPr>
        <w:ind w:left="993" w:hanging="426"/>
        <w:jc w:val="both"/>
        <w:rPr>
          <w:rFonts w:ascii="Arial" w:hAnsi="Arial" w:cs="Arial"/>
        </w:rPr>
      </w:pPr>
      <w:r>
        <w:rPr>
          <w:rFonts w:ascii="Arial" w:hAnsi="Arial" w:cs="Arial"/>
        </w:rPr>
        <w:t>Berdasarkan jenis kupon</w:t>
      </w:r>
    </w:p>
    <w:p w:rsidR="00DA1154" w:rsidRDefault="00DA1154" w:rsidP="00DA1154">
      <w:pPr>
        <w:pStyle w:val="NoSpacing"/>
        <w:numPr>
          <w:ilvl w:val="2"/>
          <w:numId w:val="8"/>
        </w:numPr>
        <w:ind w:left="1418" w:hanging="425"/>
        <w:jc w:val="both"/>
        <w:rPr>
          <w:rFonts w:ascii="Arial" w:hAnsi="Arial" w:cs="Arial"/>
        </w:rPr>
      </w:pPr>
      <w:r>
        <w:rPr>
          <w:rFonts w:ascii="Arial" w:hAnsi="Arial" w:cs="Arial"/>
        </w:rPr>
        <w:t xml:space="preserve">Fixed </w:t>
      </w:r>
      <w:r w:rsidR="00312083">
        <w:rPr>
          <w:rFonts w:ascii="Arial" w:hAnsi="Arial" w:cs="Arial"/>
        </w:rPr>
        <w:t>Rate Coupon</w:t>
      </w:r>
      <w:r w:rsidR="00B32FD0">
        <w:rPr>
          <w:rFonts w:ascii="Arial" w:hAnsi="Arial" w:cs="Arial"/>
        </w:rPr>
        <w:t xml:space="preserve"> merupakan obligasi dengan pembayaran kupon tetap</w:t>
      </w:r>
    </w:p>
    <w:p w:rsidR="00DA1154" w:rsidRDefault="00DA1154" w:rsidP="00DA1154">
      <w:pPr>
        <w:pStyle w:val="NoSpacing"/>
        <w:numPr>
          <w:ilvl w:val="2"/>
          <w:numId w:val="8"/>
        </w:numPr>
        <w:ind w:left="1418" w:hanging="425"/>
        <w:jc w:val="both"/>
        <w:rPr>
          <w:rFonts w:ascii="Arial" w:hAnsi="Arial" w:cs="Arial"/>
        </w:rPr>
      </w:pPr>
      <w:r>
        <w:rPr>
          <w:rFonts w:ascii="Arial" w:hAnsi="Arial" w:cs="Arial"/>
        </w:rPr>
        <w:t xml:space="preserve">Float </w:t>
      </w:r>
      <w:r w:rsidR="00312083">
        <w:rPr>
          <w:rFonts w:ascii="Arial" w:hAnsi="Arial" w:cs="Arial"/>
        </w:rPr>
        <w:t>Rate Coupon</w:t>
      </w:r>
      <w:r w:rsidR="00B32FD0">
        <w:rPr>
          <w:rFonts w:ascii="Arial" w:hAnsi="Arial" w:cs="Arial"/>
        </w:rPr>
        <w:t xml:space="preserve"> merupakan obligasi dengan pembayaran kupon berdasarkan bunga mengambang </w:t>
      </w:r>
    </w:p>
    <w:p w:rsidR="00DB3E84" w:rsidRDefault="00DB3E84" w:rsidP="00DB3E84">
      <w:pPr>
        <w:pStyle w:val="NoSpacing"/>
        <w:ind w:left="1418"/>
        <w:jc w:val="both"/>
        <w:rPr>
          <w:rFonts w:ascii="Arial" w:hAnsi="Arial" w:cs="Arial"/>
        </w:rPr>
      </w:pPr>
    </w:p>
    <w:p w:rsidR="00DB3E84" w:rsidRDefault="00DB3E84" w:rsidP="00CF0585">
      <w:pPr>
        <w:pStyle w:val="NoSpacing"/>
        <w:numPr>
          <w:ilvl w:val="0"/>
          <w:numId w:val="8"/>
        </w:numPr>
        <w:ind w:left="567" w:hanging="283"/>
        <w:jc w:val="both"/>
        <w:rPr>
          <w:rFonts w:ascii="Arial" w:hAnsi="Arial" w:cs="Arial"/>
        </w:rPr>
      </w:pPr>
      <w:r w:rsidRPr="00DB3E84">
        <w:rPr>
          <w:rFonts w:ascii="Arial" w:hAnsi="Arial" w:cs="Arial"/>
          <w:i/>
        </w:rPr>
        <w:t>Rating</w:t>
      </w:r>
      <w:r>
        <w:rPr>
          <w:rFonts w:ascii="Arial" w:hAnsi="Arial" w:cs="Arial"/>
        </w:rPr>
        <w:t>/Peringkat Obligasi</w:t>
      </w:r>
    </w:p>
    <w:p w:rsidR="00DB3E84" w:rsidRDefault="00DB3E84" w:rsidP="00CF0585">
      <w:pPr>
        <w:pStyle w:val="NoSpacing"/>
        <w:numPr>
          <w:ilvl w:val="1"/>
          <w:numId w:val="10"/>
        </w:numPr>
        <w:ind w:left="993" w:hanging="426"/>
        <w:jc w:val="both"/>
        <w:rPr>
          <w:rFonts w:ascii="Arial" w:hAnsi="Arial" w:cs="Arial"/>
        </w:rPr>
      </w:pPr>
      <w:r>
        <w:rPr>
          <w:rFonts w:ascii="Arial" w:hAnsi="Arial" w:cs="Arial"/>
        </w:rPr>
        <w:t>Sebagai alat untuk mengukur kemampuan dan keinginan emiten untuk membayar bunga (kupon) dan pokok pinjaman secara tepat waktu sesuai dengan kondisi perusahaan.</w:t>
      </w:r>
    </w:p>
    <w:p w:rsidR="00DB3E84" w:rsidRDefault="005F109C" w:rsidP="00CF0585">
      <w:pPr>
        <w:pStyle w:val="NoSpacing"/>
        <w:numPr>
          <w:ilvl w:val="1"/>
          <w:numId w:val="10"/>
        </w:numPr>
        <w:ind w:left="993" w:hanging="426"/>
        <w:jc w:val="both"/>
        <w:rPr>
          <w:rFonts w:ascii="Arial" w:hAnsi="Arial" w:cs="Arial"/>
        </w:rPr>
      </w:pPr>
      <w:r>
        <w:rPr>
          <w:rFonts w:ascii="Arial" w:hAnsi="Arial" w:cs="Arial"/>
        </w:rPr>
        <w:t>P</w:t>
      </w:r>
      <w:r w:rsidR="00DB3E84">
        <w:rPr>
          <w:rFonts w:ascii="Arial" w:hAnsi="Arial" w:cs="Arial"/>
        </w:rPr>
        <w:t>eringkat</w:t>
      </w:r>
      <w:r>
        <w:rPr>
          <w:rFonts w:ascii="Arial" w:hAnsi="Arial" w:cs="Arial"/>
        </w:rPr>
        <w:t xml:space="preserve"> Obligasi dikeluarkan oleh lembaga independen yang secara khusus bertugas untuk memberikan peringkat atas semua obligasi yang diterbitkan oleh perusahaan, misalnya </w:t>
      </w:r>
      <w:r w:rsidR="001C1B10">
        <w:rPr>
          <w:rFonts w:ascii="Arial" w:hAnsi="Arial" w:cs="Arial"/>
        </w:rPr>
        <w:t xml:space="preserve">PT. </w:t>
      </w:r>
      <w:r w:rsidR="007E212A">
        <w:rPr>
          <w:rFonts w:ascii="Arial" w:hAnsi="Arial" w:cs="Arial"/>
        </w:rPr>
        <w:t xml:space="preserve">Pefindo </w:t>
      </w:r>
      <w:r w:rsidR="001C1B10">
        <w:rPr>
          <w:rFonts w:ascii="Arial" w:hAnsi="Arial" w:cs="Arial"/>
        </w:rPr>
        <w:t>(Pemeringkat Efek Indonesia)</w:t>
      </w:r>
      <w:r>
        <w:rPr>
          <w:rFonts w:ascii="Arial" w:hAnsi="Arial" w:cs="Arial"/>
        </w:rPr>
        <w:t>.</w:t>
      </w:r>
    </w:p>
    <w:p w:rsidR="007E212A" w:rsidRDefault="007E212A" w:rsidP="00CF0585">
      <w:pPr>
        <w:pStyle w:val="NoSpacing"/>
        <w:numPr>
          <w:ilvl w:val="1"/>
          <w:numId w:val="10"/>
        </w:numPr>
        <w:ind w:left="993" w:hanging="426"/>
        <w:jc w:val="both"/>
        <w:rPr>
          <w:rFonts w:ascii="Arial" w:hAnsi="Arial" w:cs="Arial"/>
        </w:rPr>
      </w:pPr>
      <w:r>
        <w:rPr>
          <w:rFonts w:ascii="Arial" w:hAnsi="Arial" w:cs="Arial"/>
        </w:rPr>
        <w:t>Contoh rating/peringkat dengan status kreditnya:</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075"/>
      </w:tblGrid>
      <w:tr w:rsidR="007E212A" w:rsidTr="007E212A">
        <w:tc>
          <w:tcPr>
            <w:tcW w:w="4508" w:type="dxa"/>
          </w:tcPr>
          <w:p w:rsidR="007E212A" w:rsidRDefault="007E212A" w:rsidP="007E212A">
            <w:pPr>
              <w:pStyle w:val="NoSpacing"/>
              <w:jc w:val="both"/>
              <w:rPr>
                <w:rFonts w:ascii="Arial" w:hAnsi="Arial" w:cs="Arial"/>
              </w:rPr>
            </w:pPr>
            <w:r>
              <w:rPr>
                <w:rFonts w:ascii="Arial" w:hAnsi="Arial" w:cs="Arial"/>
              </w:rPr>
              <w:t>Rating Pefindo</w:t>
            </w:r>
          </w:p>
        </w:tc>
        <w:tc>
          <w:tcPr>
            <w:tcW w:w="4508" w:type="dxa"/>
          </w:tcPr>
          <w:p w:rsidR="007E212A" w:rsidRDefault="00473910" w:rsidP="007E212A">
            <w:pPr>
              <w:pStyle w:val="NoSpacing"/>
              <w:jc w:val="both"/>
              <w:rPr>
                <w:rFonts w:ascii="Arial" w:hAnsi="Arial" w:cs="Arial"/>
              </w:rPr>
            </w:pPr>
            <w:r>
              <w:rPr>
                <w:rFonts w:ascii="Arial" w:hAnsi="Arial" w:cs="Arial"/>
              </w:rPr>
              <w:t>Status Kredit</w:t>
            </w:r>
          </w:p>
        </w:tc>
      </w:tr>
      <w:tr w:rsidR="00473910" w:rsidTr="007E212A">
        <w:tc>
          <w:tcPr>
            <w:tcW w:w="4508" w:type="dxa"/>
          </w:tcPr>
          <w:p w:rsidR="00473910" w:rsidRDefault="00473910" w:rsidP="00473910">
            <w:pPr>
              <w:pStyle w:val="NoSpacing"/>
              <w:numPr>
                <w:ilvl w:val="4"/>
                <w:numId w:val="5"/>
              </w:numPr>
              <w:ind w:left="317" w:hanging="284"/>
              <w:jc w:val="both"/>
              <w:rPr>
                <w:rFonts w:ascii="Arial" w:hAnsi="Arial" w:cs="Arial"/>
              </w:rPr>
            </w:pPr>
            <w:r>
              <w:rPr>
                <w:rFonts w:ascii="Arial" w:hAnsi="Arial" w:cs="Arial"/>
              </w:rPr>
              <w:t>AAA</w:t>
            </w:r>
          </w:p>
          <w:p w:rsidR="00473910" w:rsidRDefault="00473910" w:rsidP="00473910">
            <w:pPr>
              <w:pStyle w:val="NoSpacing"/>
              <w:numPr>
                <w:ilvl w:val="4"/>
                <w:numId w:val="5"/>
              </w:numPr>
              <w:ind w:left="317" w:hanging="284"/>
              <w:jc w:val="both"/>
              <w:rPr>
                <w:rFonts w:ascii="Arial" w:hAnsi="Arial" w:cs="Arial"/>
              </w:rPr>
            </w:pPr>
            <w:r>
              <w:rPr>
                <w:rFonts w:ascii="Arial" w:hAnsi="Arial" w:cs="Arial"/>
              </w:rPr>
              <w:t>AA</w:t>
            </w:r>
          </w:p>
          <w:p w:rsidR="00473910" w:rsidRDefault="00473910" w:rsidP="00473910">
            <w:pPr>
              <w:pStyle w:val="NoSpacing"/>
              <w:numPr>
                <w:ilvl w:val="4"/>
                <w:numId w:val="5"/>
              </w:numPr>
              <w:ind w:left="317" w:hanging="284"/>
              <w:jc w:val="both"/>
              <w:rPr>
                <w:rFonts w:ascii="Arial" w:hAnsi="Arial" w:cs="Arial"/>
              </w:rPr>
            </w:pPr>
            <w:r>
              <w:rPr>
                <w:rFonts w:ascii="Arial" w:hAnsi="Arial" w:cs="Arial"/>
              </w:rPr>
              <w:t>A</w:t>
            </w:r>
          </w:p>
          <w:p w:rsidR="00473910" w:rsidRDefault="00473910" w:rsidP="00473910">
            <w:pPr>
              <w:pStyle w:val="NoSpacing"/>
              <w:numPr>
                <w:ilvl w:val="4"/>
                <w:numId w:val="5"/>
              </w:numPr>
              <w:ind w:left="317" w:hanging="284"/>
              <w:jc w:val="both"/>
              <w:rPr>
                <w:rFonts w:ascii="Arial" w:hAnsi="Arial" w:cs="Arial"/>
              </w:rPr>
            </w:pPr>
            <w:r>
              <w:rPr>
                <w:rFonts w:ascii="Arial" w:hAnsi="Arial" w:cs="Arial"/>
              </w:rPr>
              <w:t>BB</w:t>
            </w:r>
            <w:bookmarkStart w:id="0" w:name="_GoBack"/>
            <w:bookmarkEnd w:id="0"/>
            <w:r>
              <w:rPr>
                <w:rFonts w:ascii="Arial" w:hAnsi="Arial" w:cs="Arial"/>
              </w:rPr>
              <w:t>B</w:t>
            </w:r>
          </w:p>
          <w:p w:rsidR="00473910" w:rsidRDefault="00473910" w:rsidP="00473910">
            <w:pPr>
              <w:pStyle w:val="NoSpacing"/>
              <w:numPr>
                <w:ilvl w:val="4"/>
                <w:numId w:val="5"/>
              </w:numPr>
              <w:ind w:left="317" w:hanging="284"/>
              <w:jc w:val="both"/>
              <w:rPr>
                <w:rFonts w:ascii="Arial" w:hAnsi="Arial" w:cs="Arial"/>
              </w:rPr>
            </w:pPr>
            <w:r>
              <w:rPr>
                <w:rFonts w:ascii="Arial" w:hAnsi="Arial" w:cs="Arial"/>
              </w:rPr>
              <w:t>BB-CCC</w:t>
            </w:r>
          </w:p>
          <w:p w:rsidR="00473910" w:rsidRDefault="00473910" w:rsidP="00473910">
            <w:pPr>
              <w:pStyle w:val="NoSpacing"/>
              <w:numPr>
                <w:ilvl w:val="4"/>
                <w:numId w:val="5"/>
              </w:numPr>
              <w:ind w:left="317" w:hanging="284"/>
              <w:jc w:val="both"/>
              <w:rPr>
                <w:rFonts w:ascii="Arial" w:hAnsi="Arial" w:cs="Arial"/>
              </w:rPr>
            </w:pPr>
            <w:r>
              <w:rPr>
                <w:rFonts w:ascii="Arial" w:hAnsi="Arial" w:cs="Arial"/>
              </w:rPr>
              <w:t>D</w:t>
            </w:r>
          </w:p>
        </w:tc>
        <w:tc>
          <w:tcPr>
            <w:tcW w:w="4508" w:type="dxa"/>
          </w:tcPr>
          <w:p w:rsidR="00473910" w:rsidRPr="00473910" w:rsidRDefault="00473910" w:rsidP="00473910">
            <w:pPr>
              <w:pStyle w:val="NoSpacing"/>
              <w:numPr>
                <w:ilvl w:val="4"/>
                <w:numId w:val="5"/>
              </w:numPr>
              <w:ind w:left="258" w:hanging="258"/>
              <w:jc w:val="both"/>
              <w:rPr>
                <w:rFonts w:ascii="Arial" w:hAnsi="Arial" w:cs="Arial"/>
                <w:i/>
              </w:rPr>
            </w:pPr>
            <w:r w:rsidRPr="00473910">
              <w:rPr>
                <w:rFonts w:ascii="Arial" w:hAnsi="Arial" w:cs="Arial"/>
                <w:i/>
              </w:rPr>
              <w:t>Excellent</w:t>
            </w:r>
          </w:p>
          <w:p w:rsidR="00473910" w:rsidRPr="00473910" w:rsidRDefault="00473910" w:rsidP="00473910">
            <w:pPr>
              <w:pStyle w:val="NoSpacing"/>
              <w:numPr>
                <w:ilvl w:val="4"/>
                <w:numId w:val="5"/>
              </w:numPr>
              <w:ind w:left="258" w:hanging="258"/>
              <w:jc w:val="both"/>
              <w:rPr>
                <w:rFonts w:ascii="Arial" w:hAnsi="Arial" w:cs="Arial"/>
                <w:i/>
              </w:rPr>
            </w:pPr>
            <w:r w:rsidRPr="00473910">
              <w:rPr>
                <w:rFonts w:ascii="Arial" w:hAnsi="Arial" w:cs="Arial"/>
                <w:i/>
              </w:rPr>
              <w:t>Very Good</w:t>
            </w:r>
          </w:p>
          <w:p w:rsidR="00473910" w:rsidRPr="00473910" w:rsidRDefault="00473910" w:rsidP="00473910">
            <w:pPr>
              <w:pStyle w:val="NoSpacing"/>
              <w:numPr>
                <w:ilvl w:val="4"/>
                <w:numId w:val="5"/>
              </w:numPr>
              <w:ind w:left="258" w:hanging="258"/>
              <w:jc w:val="both"/>
              <w:rPr>
                <w:rFonts w:ascii="Arial" w:hAnsi="Arial" w:cs="Arial"/>
                <w:i/>
              </w:rPr>
            </w:pPr>
            <w:r w:rsidRPr="00473910">
              <w:rPr>
                <w:rFonts w:ascii="Arial" w:hAnsi="Arial" w:cs="Arial"/>
                <w:i/>
              </w:rPr>
              <w:t>Good</w:t>
            </w:r>
          </w:p>
          <w:p w:rsidR="00473910" w:rsidRPr="00473910" w:rsidRDefault="00473910" w:rsidP="00473910">
            <w:pPr>
              <w:pStyle w:val="NoSpacing"/>
              <w:numPr>
                <w:ilvl w:val="4"/>
                <w:numId w:val="5"/>
              </w:numPr>
              <w:ind w:left="258" w:hanging="258"/>
              <w:jc w:val="both"/>
              <w:rPr>
                <w:rFonts w:ascii="Arial" w:hAnsi="Arial" w:cs="Arial"/>
                <w:i/>
              </w:rPr>
            </w:pPr>
            <w:r w:rsidRPr="00473910">
              <w:rPr>
                <w:rFonts w:ascii="Arial" w:hAnsi="Arial" w:cs="Arial"/>
                <w:i/>
              </w:rPr>
              <w:t>Adequate</w:t>
            </w:r>
          </w:p>
          <w:p w:rsidR="00473910" w:rsidRPr="00473910" w:rsidRDefault="00473910" w:rsidP="00473910">
            <w:pPr>
              <w:pStyle w:val="NoSpacing"/>
              <w:numPr>
                <w:ilvl w:val="4"/>
                <w:numId w:val="5"/>
              </w:numPr>
              <w:ind w:left="258" w:hanging="258"/>
              <w:jc w:val="both"/>
              <w:rPr>
                <w:rFonts w:ascii="Arial" w:hAnsi="Arial" w:cs="Arial"/>
                <w:i/>
              </w:rPr>
            </w:pPr>
            <w:r w:rsidRPr="00473910">
              <w:rPr>
                <w:rFonts w:ascii="Arial" w:hAnsi="Arial" w:cs="Arial"/>
                <w:i/>
              </w:rPr>
              <w:t>Junk (Speculative)</w:t>
            </w:r>
          </w:p>
          <w:p w:rsidR="00473910" w:rsidRDefault="00473910" w:rsidP="00473910">
            <w:pPr>
              <w:pStyle w:val="NoSpacing"/>
              <w:numPr>
                <w:ilvl w:val="4"/>
                <w:numId w:val="5"/>
              </w:numPr>
              <w:ind w:left="258" w:hanging="258"/>
              <w:jc w:val="both"/>
              <w:rPr>
                <w:rFonts w:ascii="Arial" w:hAnsi="Arial" w:cs="Arial"/>
              </w:rPr>
            </w:pPr>
            <w:r w:rsidRPr="00473910">
              <w:rPr>
                <w:rFonts w:ascii="Arial" w:hAnsi="Arial" w:cs="Arial"/>
                <w:i/>
              </w:rPr>
              <w:t>Default</w:t>
            </w:r>
          </w:p>
        </w:tc>
      </w:tr>
    </w:tbl>
    <w:p w:rsidR="007E212A" w:rsidRDefault="007E212A" w:rsidP="007E212A">
      <w:pPr>
        <w:pStyle w:val="NoSpacing"/>
        <w:ind w:left="993"/>
        <w:jc w:val="both"/>
        <w:rPr>
          <w:rFonts w:ascii="Arial" w:hAnsi="Arial" w:cs="Arial"/>
        </w:rPr>
      </w:pPr>
    </w:p>
    <w:p w:rsidR="004D67AE" w:rsidRDefault="004D67AE" w:rsidP="009C0993">
      <w:pPr>
        <w:pStyle w:val="NoSpacing"/>
        <w:ind w:left="284"/>
        <w:jc w:val="both"/>
        <w:rPr>
          <w:rFonts w:ascii="Arial" w:hAnsi="Arial" w:cs="Arial"/>
        </w:rPr>
      </w:pPr>
      <w:r>
        <w:rPr>
          <w:rFonts w:ascii="Arial" w:hAnsi="Arial" w:cs="Arial"/>
        </w:rPr>
        <w:br w:type="page"/>
      </w:r>
    </w:p>
    <w:p w:rsidR="009C0993" w:rsidRPr="009C0993" w:rsidRDefault="009C0993" w:rsidP="009C0993">
      <w:pPr>
        <w:pStyle w:val="NoSpacing"/>
        <w:numPr>
          <w:ilvl w:val="0"/>
          <w:numId w:val="1"/>
        </w:numPr>
        <w:ind w:left="284" w:hanging="284"/>
        <w:jc w:val="both"/>
        <w:rPr>
          <w:rFonts w:ascii="Arial" w:hAnsi="Arial" w:cs="Arial"/>
        </w:rPr>
      </w:pPr>
      <w:r>
        <w:rPr>
          <w:rFonts w:ascii="Arial" w:hAnsi="Arial" w:cs="Arial"/>
        </w:rPr>
        <w:t>SAHAM</w:t>
      </w:r>
    </w:p>
    <w:sectPr w:rsidR="009C0993" w:rsidRPr="009C099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5D0" w:rsidRDefault="00DE55D0" w:rsidP="009C0993">
      <w:pPr>
        <w:spacing w:after="0" w:line="240" w:lineRule="auto"/>
      </w:pPr>
      <w:r>
        <w:separator/>
      </w:r>
    </w:p>
  </w:endnote>
  <w:endnote w:type="continuationSeparator" w:id="0">
    <w:p w:rsidR="00DE55D0" w:rsidRDefault="00DE55D0" w:rsidP="009C0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349288"/>
      <w:docPartObj>
        <w:docPartGallery w:val="Page Numbers (Bottom of Page)"/>
        <w:docPartUnique/>
      </w:docPartObj>
    </w:sdtPr>
    <w:sdtEndPr>
      <w:rPr>
        <w:noProof/>
      </w:rPr>
    </w:sdtEndPr>
    <w:sdtContent>
      <w:p w:rsidR="009C0993" w:rsidRDefault="00AF2BB9">
        <w:pPr>
          <w:pStyle w:val="Footer"/>
          <w:jc w:val="right"/>
        </w:pPr>
        <w:r>
          <w:t xml:space="preserve">Obligasi dan Saham | </w:t>
        </w:r>
        <w:r w:rsidR="009C0993">
          <w:fldChar w:fldCharType="begin"/>
        </w:r>
        <w:r w:rsidR="009C0993">
          <w:instrText xml:space="preserve"> PAGE   \* MERGEFORMAT </w:instrText>
        </w:r>
        <w:r w:rsidR="009C0993">
          <w:fldChar w:fldCharType="separate"/>
        </w:r>
        <w:r w:rsidR="00DE55D0">
          <w:rPr>
            <w:noProof/>
          </w:rPr>
          <w:t>1</w:t>
        </w:r>
        <w:r w:rsidR="009C0993">
          <w:rPr>
            <w:noProof/>
          </w:rPr>
          <w:fldChar w:fldCharType="end"/>
        </w:r>
      </w:p>
    </w:sdtContent>
  </w:sdt>
  <w:p w:rsidR="009C0993" w:rsidRDefault="009C0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5D0" w:rsidRDefault="00DE55D0" w:rsidP="009C0993">
      <w:pPr>
        <w:spacing w:after="0" w:line="240" w:lineRule="auto"/>
      </w:pPr>
      <w:r>
        <w:separator/>
      </w:r>
    </w:p>
  </w:footnote>
  <w:footnote w:type="continuationSeparator" w:id="0">
    <w:p w:rsidR="00DE55D0" w:rsidRDefault="00DE55D0" w:rsidP="009C09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06B2"/>
    <w:multiLevelType w:val="hybridMultilevel"/>
    <w:tmpl w:val="19E01AD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1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9268A5"/>
    <w:multiLevelType w:val="hybridMultilevel"/>
    <w:tmpl w:val="BC2EDB76"/>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start w:val="1"/>
      <w:numFmt w:val="lowerRoman"/>
      <w:lvlText w:val="%3."/>
      <w:lvlJc w:val="righ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0AE2642"/>
    <w:multiLevelType w:val="hybridMultilevel"/>
    <w:tmpl w:val="E8D03588"/>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6EE657A"/>
    <w:multiLevelType w:val="hybridMultilevel"/>
    <w:tmpl w:val="3BFED61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17">
      <w:start w:val="1"/>
      <w:numFmt w:val="lowerLetter"/>
      <w:lvlText w:val="%4)"/>
      <w:lvlJc w:val="left"/>
      <w:pPr>
        <w:ind w:left="2880" w:hanging="360"/>
      </w:pPr>
    </w:lvl>
    <w:lvl w:ilvl="4" w:tplc="EC6A63FC">
      <w:numFmt w:val="bullet"/>
      <w:lvlText w:val="-"/>
      <w:lvlJc w:val="left"/>
      <w:pPr>
        <w:ind w:left="3600" w:hanging="360"/>
      </w:pPr>
      <w:rPr>
        <w:rFonts w:ascii="Arial" w:eastAsiaTheme="minorHAnsi" w:hAnsi="Arial" w:cs="Arial"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0551079"/>
    <w:multiLevelType w:val="hybridMultilevel"/>
    <w:tmpl w:val="3E40754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2D47D87"/>
    <w:multiLevelType w:val="hybridMultilevel"/>
    <w:tmpl w:val="EEA26B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735E3B61"/>
    <w:multiLevelType w:val="hybridMultilevel"/>
    <w:tmpl w:val="7228FE2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7107570"/>
    <w:multiLevelType w:val="hybridMultilevel"/>
    <w:tmpl w:val="7696E02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9550DF8"/>
    <w:multiLevelType w:val="hybridMultilevel"/>
    <w:tmpl w:val="21B8F11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BEC6715"/>
    <w:multiLevelType w:val="hybridMultilevel"/>
    <w:tmpl w:val="C3C4BAA2"/>
    <w:lvl w:ilvl="0" w:tplc="0421000F">
      <w:start w:val="1"/>
      <w:numFmt w:val="decimal"/>
      <w:lvlText w:val="%1."/>
      <w:lvlJc w:val="left"/>
      <w:pPr>
        <w:ind w:left="720" w:hanging="360"/>
      </w:pPr>
    </w:lvl>
    <w:lvl w:ilvl="1" w:tplc="04210017">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CEA6B9D"/>
    <w:multiLevelType w:val="hybridMultilevel"/>
    <w:tmpl w:val="869A2D9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8"/>
  </w:num>
  <w:num w:numId="5">
    <w:abstractNumId w:val="3"/>
  </w:num>
  <w:num w:numId="6">
    <w:abstractNumId w:val="10"/>
  </w:num>
  <w:num w:numId="7">
    <w:abstractNumId w:val="1"/>
  </w:num>
  <w:num w:numId="8">
    <w:abstractNumId w:val="2"/>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93"/>
    <w:rsid w:val="00013CC1"/>
    <w:rsid w:val="00077805"/>
    <w:rsid w:val="00080A60"/>
    <w:rsid w:val="00145B35"/>
    <w:rsid w:val="001C1B10"/>
    <w:rsid w:val="0024326D"/>
    <w:rsid w:val="0025475F"/>
    <w:rsid w:val="00312083"/>
    <w:rsid w:val="00344FFC"/>
    <w:rsid w:val="00473910"/>
    <w:rsid w:val="004D67AE"/>
    <w:rsid w:val="005F109C"/>
    <w:rsid w:val="007560A5"/>
    <w:rsid w:val="007963A8"/>
    <w:rsid w:val="007E212A"/>
    <w:rsid w:val="008B398C"/>
    <w:rsid w:val="009C0993"/>
    <w:rsid w:val="00AF2BB9"/>
    <w:rsid w:val="00B32FD0"/>
    <w:rsid w:val="00B4232A"/>
    <w:rsid w:val="00B802D3"/>
    <w:rsid w:val="00CF0585"/>
    <w:rsid w:val="00D53B82"/>
    <w:rsid w:val="00DA1154"/>
    <w:rsid w:val="00DB3E84"/>
    <w:rsid w:val="00DD213D"/>
    <w:rsid w:val="00DE55D0"/>
    <w:rsid w:val="00EE4A06"/>
    <w:rsid w:val="00F07E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28CF3A-E7DC-41D4-BCBF-D7318621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0993"/>
    <w:pPr>
      <w:spacing w:after="0" w:line="240" w:lineRule="auto"/>
    </w:pPr>
  </w:style>
  <w:style w:type="paragraph" w:styleId="Header">
    <w:name w:val="header"/>
    <w:basedOn w:val="Normal"/>
    <w:link w:val="HeaderChar"/>
    <w:uiPriority w:val="99"/>
    <w:unhideWhenUsed/>
    <w:rsid w:val="009C09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993"/>
  </w:style>
  <w:style w:type="paragraph" w:styleId="Footer">
    <w:name w:val="footer"/>
    <w:basedOn w:val="Normal"/>
    <w:link w:val="FooterChar"/>
    <w:uiPriority w:val="99"/>
    <w:unhideWhenUsed/>
    <w:rsid w:val="009C09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993"/>
  </w:style>
  <w:style w:type="table" w:styleId="TableGrid">
    <w:name w:val="Table Grid"/>
    <w:basedOn w:val="TableNormal"/>
    <w:uiPriority w:val="39"/>
    <w:rsid w:val="007E2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20</cp:revision>
  <dcterms:created xsi:type="dcterms:W3CDTF">2018-10-19T17:01:00Z</dcterms:created>
  <dcterms:modified xsi:type="dcterms:W3CDTF">2018-10-19T18:50:00Z</dcterms:modified>
</cp:coreProperties>
</file>