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w:t>
      </w:r>
      <w:r w:rsidR="00127BAF">
        <w:rPr>
          <w:rFonts w:ascii="Times New Roman" w:hAnsi="Times New Roman" w:cs="Times New Roman"/>
          <w:b/>
          <w:sz w:val="24"/>
          <w:szCs w:val="24"/>
          <w:lang w:val="en-US"/>
        </w:rPr>
        <w:t>2015 sampai dengan 2019</w:t>
      </w:r>
      <w:r w:rsidR="00BA62C4" w:rsidRPr="00D4289E">
        <w:rPr>
          <w:rFonts w:ascii="Times New Roman" w:hAnsi="Times New Roman" w:cs="Times New Roman"/>
          <w:b/>
          <w:sz w:val="24"/>
          <w:szCs w:val="24"/>
          <w:lang w:val="en-US"/>
        </w:rPr>
        <w:t>”</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 xml:space="preserve">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 xml:space="preserve">, serta menghasilkan laba periode tahun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3A1F5E" w:rsidRPr="00265BC8" w:rsidRDefault="003A1F5E" w:rsidP="003A1F5E">
      <w:pPr>
        <w:pStyle w:val="NoSpacing"/>
        <w:spacing w:line="480" w:lineRule="auto"/>
        <w:jc w:val="both"/>
        <w:rPr>
          <w:rFonts w:ascii="Times New Roman" w:hAnsi="Times New Roman" w:cs="Times New Roman"/>
          <w:color w:val="000000" w:themeColor="text1"/>
          <w:sz w:val="24"/>
          <w:szCs w:val="24"/>
        </w:rPr>
      </w:pPr>
      <w:r w:rsidRPr="003A1F5E">
        <w:rPr>
          <w:rFonts w:ascii="Times New Roman" w:hAnsi="Times New Roman" w:cs="Times New Roman"/>
          <w:sz w:val="24"/>
          <w:szCs w:val="24"/>
        </w:rPr>
        <w:t>Berdasarkan latar belakang dan pembatasan masalah yang telah diuraikan di atas, maka hasil penelitian ini akan menjawab pe</w:t>
      </w:r>
      <w:bookmarkStart w:id="0" w:name="_GoBack"/>
      <w:bookmarkEnd w:id="0"/>
      <w:r w:rsidRPr="003A1F5E">
        <w:rPr>
          <w:rFonts w:ascii="Times New Roman" w:hAnsi="Times New Roman" w:cs="Times New Roman"/>
          <w:sz w:val="24"/>
          <w:szCs w:val="24"/>
        </w:rPr>
        <w:t>rmasalahan sebagai berikut:</w:t>
      </w:r>
    </w:p>
    <w:p w:rsidR="00595068" w:rsidRPr="00265BC8" w:rsidRDefault="003A1F5E" w:rsidP="00DA7792">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Bagaimana pengaruh</w:t>
      </w:r>
      <w:r w:rsidR="00595068" w:rsidRPr="00265BC8">
        <w:rPr>
          <w:rFonts w:ascii="Times New Roman" w:hAnsi="Times New Roman" w:cs="Times New Roman"/>
          <w:color w:val="000000" w:themeColor="text1"/>
        </w:rPr>
        <w:t xml:space="preserve"> </w:t>
      </w:r>
      <w:r w:rsidR="008500CE" w:rsidRPr="00265BC8">
        <w:rPr>
          <w:rFonts w:ascii="Times New Roman" w:hAnsi="Times New Roman" w:cs="Times New Roman"/>
          <w:i/>
          <w:color w:val="000000" w:themeColor="text1"/>
        </w:rPr>
        <w:t>Debt to Equity Ratio</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(DER)</w:t>
      </w:r>
      <w:r w:rsidR="008500CE" w:rsidRPr="00265BC8">
        <w:rPr>
          <w:rFonts w:ascii="Times New Roman" w:hAnsi="Times New Roman" w:cs="Times New Roman"/>
          <w:i/>
          <w:color w:val="000000" w:themeColor="text1"/>
        </w:rPr>
        <w:t xml:space="preserve"> </w:t>
      </w:r>
      <w:r w:rsidR="008500CE" w:rsidRPr="00265BC8">
        <w:rPr>
          <w:rFonts w:ascii="Times New Roman" w:hAnsi="Times New Roman" w:cs="Times New Roman"/>
          <w:color w:val="000000" w:themeColor="text1"/>
        </w:rPr>
        <w:t>dan</w:t>
      </w:r>
      <w:r w:rsidR="00C86F37" w:rsidRPr="00265BC8">
        <w:rPr>
          <w:rFonts w:ascii="Times New Roman" w:hAnsi="Times New Roman" w:cs="Times New Roman"/>
          <w:i/>
          <w:color w:val="000000" w:themeColor="text1"/>
        </w:rPr>
        <w:t xml:space="preserve"> </w:t>
      </w:r>
      <w:r w:rsidR="002474FA" w:rsidRPr="00265BC8">
        <w:rPr>
          <w:rFonts w:ascii="Times New Roman" w:hAnsi="Times New Roman" w:cs="Times New Roman"/>
          <w:i/>
          <w:color w:val="000000" w:themeColor="text1"/>
        </w:rPr>
        <w:t>Return on Asset</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(ROA)</w:t>
      </w:r>
      <w:r w:rsidR="00595068" w:rsidRPr="00265BC8">
        <w:rPr>
          <w:rFonts w:ascii="Times New Roman" w:hAnsi="Times New Roman" w:cs="Times New Roman"/>
          <w:color w:val="000000" w:themeColor="text1"/>
        </w:rPr>
        <w:t xml:space="preserve"> secara simultan terhadap harga saham </w:t>
      </w:r>
      <w:r w:rsidR="00FB24B4" w:rsidRPr="00265BC8">
        <w:rPr>
          <w:rFonts w:ascii="Times New Roman" w:hAnsi="Times New Roman" w:cs="Times New Roman"/>
          <w:color w:val="000000" w:themeColor="text1"/>
        </w:rPr>
        <w:t xml:space="preserve">perusahaan sektor industri barang konsumsi subsektor kosmetik dan keperluan rumah tangga </w:t>
      </w:r>
      <w:r w:rsidR="00595068" w:rsidRPr="00265BC8">
        <w:rPr>
          <w:rFonts w:ascii="Times New Roman" w:hAnsi="Times New Roman" w:cs="Times New Roman"/>
          <w:color w:val="000000" w:themeColor="text1"/>
        </w:rPr>
        <w:t xml:space="preserve">yang terdaftar di Bursa Efek Indonesia untuk periode </w:t>
      </w:r>
      <w:r w:rsidRPr="00265BC8">
        <w:rPr>
          <w:rFonts w:ascii="Times New Roman" w:hAnsi="Times New Roman" w:cs="Times New Roman"/>
          <w:color w:val="000000" w:themeColor="text1"/>
        </w:rPr>
        <w:t>2015 sampai dengan 2019</w:t>
      </w:r>
      <w:r w:rsidR="00595068" w:rsidRPr="00265BC8">
        <w:rPr>
          <w:rFonts w:ascii="Times New Roman" w:hAnsi="Times New Roman" w:cs="Times New Roman"/>
          <w:color w:val="000000" w:themeColor="text1"/>
        </w:rPr>
        <w:t>?</w:t>
      </w:r>
    </w:p>
    <w:p w:rsidR="007E2D01" w:rsidRPr="00265BC8" w:rsidRDefault="003A1F5E" w:rsidP="003A1F5E">
      <w:pPr>
        <w:pStyle w:val="Heading3"/>
        <w:spacing w:line="480" w:lineRule="auto"/>
        <w:jc w:val="both"/>
        <w:rPr>
          <w:color w:val="000000" w:themeColor="text1"/>
        </w:rPr>
      </w:pPr>
      <w:r w:rsidRPr="00265BC8">
        <w:rPr>
          <w:rFonts w:ascii="Times New Roman" w:hAnsi="Times New Roman" w:cs="Times New Roman"/>
          <w:color w:val="000000" w:themeColor="text1"/>
        </w:rPr>
        <w:t>Bagaimana pengaruh</w:t>
      </w:r>
      <w:r w:rsidRPr="00265BC8">
        <w:rPr>
          <w:rFonts w:ascii="Times New Roman" w:hAnsi="Times New Roman" w:cs="Times New Roman"/>
          <w:i/>
          <w:color w:val="000000" w:themeColor="text1"/>
        </w:rPr>
        <w:t xml:space="preserve"> </w:t>
      </w:r>
      <w:r w:rsidR="008500CE" w:rsidRPr="00265BC8">
        <w:rPr>
          <w:rFonts w:ascii="Times New Roman" w:hAnsi="Times New Roman" w:cs="Times New Roman"/>
          <w:i/>
          <w:color w:val="000000" w:themeColor="text1"/>
        </w:rPr>
        <w:t>Debt to Equity Ratio</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(DER)</w:t>
      </w:r>
      <w:r w:rsidR="008500CE" w:rsidRPr="00265BC8">
        <w:rPr>
          <w:rFonts w:ascii="Times New Roman" w:hAnsi="Times New Roman" w:cs="Times New Roman"/>
          <w:color w:val="000000" w:themeColor="text1"/>
        </w:rPr>
        <w:t xml:space="preserve"> </w:t>
      </w:r>
      <w:r w:rsidR="00595068" w:rsidRPr="00265BC8">
        <w:rPr>
          <w:rFonts w:ascii="Times New Roman" w:hAnsi="Times New Roman" w:cs="Times New Roman"/>
          <w:color w:val="000000" w:themeColor="text1"/>
        </w:rPr>
        <w:t xml:space="preserve">secara parsial terhadap harga saham </w:t>
      </w:r>
      <w:r w:rsidR="00FB24B4" w:rsidRPr="00265BC8">
        <w:rPr>
          <w:rFonts w:ascii="Times New Roman" w:hAnsi="Times New Roman" w:cs="Times New Roman"/>
          <w:color w:val="000000" w:themeColor="text1"/>
        </w:rPr>
        <w:t xml:space="preserve">perusahaan sektor industri barang konsumsi subsektor kosmetik dan keperluan rumah tangga </w:t>
      </w:r>
      <w:r w:rsidR="00595068" w:rsidRPr="00265BC8">
        <w:rPr>
          <w:rFonts w:ascii="Times New Roman" w:hAnsi="Times New Roman" w:cs="Times New Roman"/>
          <w:color w:val="000000" w:themeColor="text1"/>
        </w:rPr>
        <w:t xml:space="preserve">yang terdaftar di Bursa Efek Indonesia untuk periode </w:t>
      </w:r>
      <w:r w:rsidRPr="00265BC8">
        <w:rPr>
          <w:rFonts w:ascii="Times New Roman" w:hAnsi="Times New Roman" w:cs="Times New Roman"/>
          <w:color w:val="000000" w:themeColor="text1"/>
        </w:rPr>
        <w:t>2015 sampai dengan 2019</w:t>
      </w:r>
      <w:r w:rsidR="00595068" w:rsidRPr="00265BC8">
        <w:rPr>
          <w:rFonts w:ascii="Times New Roman" w:hAnsi="Times New Roman" w:cs="Times New Roman"/>
          <w:color w:val="000000" w:themeColor="text1"/>
        </w:rPr>
        <w:t>?</w:t>
      </w:r>
    </w:p>
    <w:p w:rsidR="003A1F5E" w:rsidRPr="00265BC8" w:rsidRDefault="003A1F5E" w:rsidP="003A1F5E">
      <w:pPr>
        <w:pStyle w:val="Heading3"/>
        <w:spacing w:line="480" w:lineRule="auto"/>
        <w:jc w:val="both"/>
        <w:rPr>
          <w:color w:val="000000" w:themeColor="text1"/>
        </w:rPr>
      </w:pPr>
      <w:r w:rsidRPr="00265BC8">
        <w:rPr>
          <w:rFonts w:ascii="Times New Roman" w:hAnsi="Times New Roman" w:cs="Times New Roman"/>
          <w:color w:val="000000" w:themeColor="text1"/>
        </w:rPr>
        <w:t xml:space="preserve">Bagaimana </w:t>
      </w:r>
      <w:r w:rsidRPr="00265BC8">
        <w:rPr>
          <w:rFonts w:ascii="Times New Roman" w:hAnsi="Times New Roman" w:cs="Times New Roman"/>
          <w:color w:val="000000" w:themeColor="text1"/>
        </w:rPr>
        <w:t>pengaruh</w:t>
      </w:r>
      <w:r w:rsidRPr="00265BC8">
        <w:rPr>
          <w:rFonts w:ascii="Times New Roman" w:hAnsi="Times New Roman" w:cs="Times New Roman"/>
          <w:i/>
          <w:color w:val="000000" w:themeColor="text1"/>
        </w:rPr>
        <w:t xml:space="preserve"> Return on Assets</w:t>
      </w:r>
      <w:r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 xml:space="preserve">(ROA) </w:t>
      </w:r>
      <w:r w:rsidRPr="00265BC8">
        <w:rPr>
          <w:rFonts w:ascii="Times New Roman" w:hAnsi="Times New Roman" w:cs="Times New Roman"/>
          <w:color w:val="000000" w:themeColor="text1"/>
        </w:rPr>
        <w:t>secara parsial terhadap harga saham perusahaan sektor industri barang konsumsi subsektor kosmetik dan keperluan rumah tangga yang terdaftar di Bursa Efek Indonesia untuk periode 2015 sampai dengan 2019?</w:t>
      </w:r>
    </w:p>
    <w:p w:rsidR="00595068" w:rsidRPr="00265BC8" w:rsidRDefault="00595068" w:rsidP="003A1F5E">
      <w:pPr>
        <w:pStyle w:val="Heading3"/>
        <w:numPr>
          <w:ilvl w:val="0"/>
          <w:numId w:val="0"/>
        </w:numPr>
        <w:ind w:left="720"/>
        <w:rPr>
          <w:color w:val="000000" w:themeColor="text1"/>
        </w:rPr>
      </w:pPr>
    </w:p>
    <w:p w:rsidR="00AE4F08" w:rsidRPr="00265BC8" w:rsidRDefault="00AE4F08" w:rsidP="00211222">
      <w:pPr>
        <w:pStyle w:val="Heading2"/>
        <w:spacing w:line="480" w:lineRule="auto"/>
        <w:rPr>
          <w:rFonts w:ascii="Times New Roman" w:hAnsi="Times New Roman" w:cs="Times New Roman"/>
          <w:b/>
          <w:color w:val="000000" w:themeColor="text1"/>
          <w:sz w:val="24"/>
          <w:szCs w:val="24"/>
        </w:rPr>
      </w:pPr>
      <w:r w:rsidRPr="00265BC8">
        <w:rPr>
          <w:rFonts w:ascii="Times New Roman" w:hAnsi="Times New Roman" w:cs="Times New Roman"/>
          <w:b/>
          <w:color w:val="000000" w:themeColor="text1"/>
          <w:sz w:val="24"/>
          <w:szCs w:val="24"/>
        </w:rPr>
        <w:t xml:space="preserve">Tujuan </w:t>
      </w:r>
      <w:r w:rsidR="000C7908" w:rsidRPr="00265BC8">
        <w:rPr>
          <w:rFonts w:ascii="Times New Roman" w:hAnsi="Times New Roman" w:cs="Times New Roman"/>
          <w:b/>
          <w:color w:val="000000" w:themeColor="text1"/>
          <w:sz w:val="24"/>
          <w:szCs w:val="24"/>
        </w:rPr>
        <w:t>P</w:t>
      </w:r>
      <w:r w:rsidRPr="00265BC8">
        <w:rPr>
          <w:rFonts w:ascii="Times New Roman" w:hAnsi="Times New Roman" w:cs="Times New Roman"/>
          <w:b/>
          <w:color w:val="000000" w:themeColor="text1"/>
          <w:sz w:val="24"/>
          <w:szCs w:val="24"/>
        </w:rPr>
        <w:t>enelitian</w:t>
      </w:r>
    </w:p>
    <w:p w:rsidR="00717FB3" w:rsidRPr="00265BC8" w:rsidRDefault="0028292E" w:rsidP="005A6995">
      <w:pPr>
        <w:pStyle w:val="NoSpacing"/>
        <w:spacing w:line="480" w:lineRule="auto"/>
        <w:ind w:firstLine="720"/>
        <w:jc w:val="both"/>
        <w:rPr>
          <w:rFonts w:ascii="Times New Roman" w:hAnsi="Times New Roman" w:cs="Times New Roman"/>
          <w:color w:val="000000" w:themeColor="text1"/>
          <w:sz w:val="24"/>
          <w:szCs w:val="24"/>
        </w:rPr>
      </w:pPr>
      <w:r w:rsidRPr="00265BC8">
        <w:rPr>
          <w:rFonts w:ascii="Times New Roman" w:hAnsi="Times New Roman" w:cs="Times New Roman"/>
          <w:color w:val="000000" w:themeColor="text1"/>
          <w:sz w:val="24"/>
          <w:szCs w:val="24"/>
        </w:rPr>
        <w:t>Sesuai dengan rumusan masalah yang diajukan, maka p</w:t>
      </w:r>
      <w:r w:rsidR="00717FB3" w:rsidRPr="00265BC8">
        <w:rPr>
          <w:rFonts w:ascii="Times New Roman" w:hAnsi="Times New Roman" w:cs="Times New Roman"/>
          <w:color w:val="000000" w:themeColor="text1"/>
          <w:sz w:val="24"/>
          <w:szCs w:val="24"/>
        </w:rPr>
        <w:t>enelitian ini dilakukan</w:t>
      </w:r>
      <w:r w:rsidR="00922355" w:rsidRPr="00265BC8">
        <w:rPr>
          <w:rFonts w:ascii="Times New Roman" w:hAnsi="Times New Roman" w:cs="Times New Roman"/>
          <w:color w:val="000000" w:themeColor="text1"/>
          <w:sz w:val="24"/>
          <w:szCs w:val="24"/>
        </w:rPr>
        <w:t xml:space="preserve"> dengan tujuan</w:t>
      </w:r>
      <w:r w:rsidR="00717FB3" w:rsidRPr="00265BC8">
        <w:rPr>
          <w:rFonts w:ascii="Times New Roman" w:hAnsi="Times New Roman" w:cs="Times New Roman"/>
          <w:color w:val="000000" w:themeColor="text1"/>
          <w:sz w:val="24"/>
          <w:szCs w:val="24"/>
        </w:rPr>
        <w:t xml:space="preserve"> untuk menjawab permasalahan sebagai berikut:</w:t>
      </w:r>
    </w:p>
    <w:p w:rsidR="00717FB3" w:rsidRPr="00265BC8" w:rsidRDefault="00717FB3" w:rsidP="00127BAF">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Untuk mengetahui dan menganalisis signi</w:t>
      </w:r>
      <w:r w:rsidR="00FB0937" w:rsidRPr="00265BC8">
        <w:rPr>
          <w:rFonts w:ascii="Times New Roman" w:hAnsi="Times New Roman" w:cs="Times New Roman"/>
          <w:color w:val="000000" w:themeColor="text1"/>
        </w:rPr>
        <w:t xml:space="preserve">fikan secara simultan pengaruh </w:t>
      </w:r>
      <w:r w:rsidR="000B5FE8" w:rsidRPr="00265BC8">
        <w:rPr>
          <w:rFonts w:ascii="Times New Roman" w:hAnsi="Times New Roman" w:cs="Times New Roman"/>
          <w:i/>
          <w:color w:val="000000" w:themeColor="text1"/>
        </w:rPr>
        <w:t xml:space="preserve">Debt to Equity Ratio </w:t>
      </w:r>
      <w:r w:rsidR="000B5FE8" w:rsidRPr="00265BC8">
        <w:rPr>
          <w:rFonts w:ascii="Times New Roman" w:hAnsi="Times New Roman" w:cs="Times New Roman"/>
          <w:color w:val="000000" w:themeColor="text1"/>
        </w:rPr>
        <w:t>dan</w:t>
      </w:r>
      <w:r w:rsidR="001532A7" w:rsidRPr="00265BC8">
        <w:rPr>
          <w:rFonts w:ascii="Times New Roman" w:hAnsi="Times New Roman" w:cs="Times New Roman"/>
          <w:i/>
          <w:color w:val="000000" w:themeColor="text1"/>
        </w:rPr>
        <w:t xml:space="preserve"> </w:t>
      </w:r>
      <w:r w:rsidR="00B44412" w:rsidRPr="00265BC8">
        <w:rPr>
          <w:rFonts w:ascii="Times New Roman" w:hAnsi="Times New Roman" w:cs="Times New Roman"/>
          <w:i/>
          <w:color w:val="000000" w:themeColor="text1"/>
        </w:rPr>
        <w:t>Return on Assets</w:t>
      </w:r>
      <w:r w:rsidR="001532A7"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terhadap harga saham</w:t>
      </w:r>
      <w:r w:rsidR="00F017E4" w:rsidRPr="00265BC8">
        <w:rPr>
          <w:rFonts w:ascii="Times New Roman" w:hAnsi="Times New Roman" w:cs="Times New Roman"/>
          <w:color w:val="000000" w:themeColor="text1"/>
          <w:lang w:val="en-US"/>
        </w:rPr>
        <w:t xml:space="preserve"> </w:t>
      </w:r>
      <w:r w:rsidR="001532A7" w:rsidRPr="00265BC8">
        <w:rPr>
          <w:rFonts w:ascii="Times New Roman" w:hAnsi="Times New Roman" w:cs="Times New Roman"/>
          <w:color w:val="000000" w:themeColor="text1"/>
        </w:rPr>
        <w:t xml:space="preserve">perusahaan sektor industri barang konsumsi subsektor kosmetik dan keperluan rumah tangga </w:t>
      </w:r>
      <w:r w:rsidRPr="00265BC8">
        <w:rPr>
          <w:rFonts w:ascii="Times New Roman" w:hAnsi="Times New Roman" w:cs="Times New Roman"/>
          <w:color w:val="000000" w:themeColor="text1"/>
        </w:rPr>
        <w:t xml:space="preserve">yang terdaftar di Bursa Efek Indonesia untuk periode </w:t>
      </w:r>
      <w:r w:rsidR="00127BAF" w:rsidRPr="00265BC8">
        <w:rPr>
          <w:rFonts w:ascii="Times New Roman" w:hAnsi="Times New Roman" w:cs="Times New Roman"/>
          <w:color w:val="000000" w:themeColor="text1"/>
        </w:rPr>
        <w:t>2015 sampai dengan 2019</w:t>
      </w:r>
      <w:r w:rsidR="00EB637D" w:rsidRPr="00265BC8">
        <w:rPr>
          <w:rFonts w:ascii="Times New Roman" w:hAnsi="Times New Roman" w:cs="Times New Roman"/>
          <w:color w:val="000000" w:themeColor="text1"/>
        </w:rPr>
        <w:t>.</w:t>
      </w:r>
    </w:p>
    <w:p w:rsidR="00717FB3" w:rsidRPr="00265BC8" w:rsidRDefault="00717FB3" w:rsidP="00127BAF">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Untuk mengetahui dan menganalisis sign</w:t>
      </w:r>
      <w:r w:rsidR="00F53904" w:rsidRPr="00265BC8">
        <w:rPr>
          <w:rFonts w:ascii="Times New Roman" w:hAnsi="Times New Roman" w:cs="Times New Roman"/>
          <w:color w:val="000000" w:themeColor="text1"/>
        </w:rPr>
        <w:t xml:space="preserve">ifikan secara parsial pengaruh </w:t>
      </w:r>
      <w:r w:rsidR="000B5FE8" w:rsidRPr="00265BC8">
        <w:rPr>
          <w:rFonts w:ascii="Times New Roman" w:hAnsi="Times New Roman" w:cs="Times New Roman"/>
          <w:i/>
          <w:color w:val="000000" w:themeColor="text1"/>
        </w:rPr>
        <w:t xml:space="preserve">Debt to Equity Ratio </w:t>
      </w:r>
      <w:r w:rsidR="000B5FE8" w:rsidRPr="00265BC8">
        <w:rPr>
          <w:rFonts w:ascii="Times New Roman" w:hAnsi="Times New Roman" w:cs="Times New Roman"/>
          <w:color w:val="000000" w:themeColor="text1"/>
        </w:rPr>
        <w:t>dan</w:t>
      </w:r>
      <w:r w:rsidR="001532A7" w:rsidRPr="00265BC8">
        <w:rPr>
          <w:rFonts w:ascii="Times New Roman" w:hAnsi="Times New Roman" w:cs="Times New Roman"/>
          <w:i/>
          <w:color w:val="000000" w:themeColor="text1"/>
        </w:rPr>
        <w:t xml:space="preserve"> </w:t>
      </w:r>
      <w:r w:rsidR="000B5FE8" w:rsidRPr="00265BC8">
        <w:rPr>
          <w:rFonts w:ascii="Times New Roman" w:hAnsi="Times New Roman" w:cs="Times New Roman"/>
          <w:i/>
          <w:color w:val="000000" w:themeColor="text1"/>
        </w:rPr>
        <w:t xml:space="preserve">Return on Assets </w:t>
      </w:r>
      <w:r w:rsidR="001532A7"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terhadap harga saham</w:t>
      </w:r>
      <w:r w:rsidR="00F017E4" w:rsidRPr="00265BC8">
        <w:rPr>
          <w:rFonts w:ascii="Times New Roman" w:hAnsi="Times New Roman" w:cs="Times New Roman"/>
          <w:color w:val="000000" w:themeColor="text1"/>
          <w:lang w:val="en-US"/>
        </w:rPr>
        <w:t xml:space="preserve"> </w:t>
      </w:r>
      <w:r w:rsidR="001532A7" w:rsidRPr="00265BC8">
        <w:rPr>
          <w:rFonts w:ascii="Times New Roman" w:hAnsi="Times New Roman" w:cs="Times New Roman"/>
          <w:color w:val="000000" w:themeColor="text1"/>
        </w:rPr>
        <w:t>perusahaan sektor industri barang konsumsi subsektor kosmetik dan keperluan rumah tangga</w:t>
      </w:r>
      <w:r w:rsidRPr="00265BC8">
        <w:rPr>
          <w:rFonts w:ascii="Times New Roman" w:hAnsi="Times New Roman" w:cs="Times New Roman"/>
          <w:color w:val="000000" w:themeColor="text1"/>
        </w:rPr>
        <w:t xml:space="preserve"> yang terdaftar di Bursa Efek Indonesia untuk periode </w:t>
      </w:r>
      <w:r w:rsidR="00127BAF" w:rsidRPr="00265BC8">
        <w:rPr>
          <w:rFonts w:ascii="Times New Roman" w:hAnsi="Times New Roman" w:cs="Times New Roman"/>
          <w:color w:val="000000" w:themeColor="text1"/>
        </w:rPr>
        <w:t>2015 sampai dengan 2019</w:t>
      </w:r>
      <w:r w:rsidRPr="00265BC8">
        <w:rPr>
          <w:rFonts w:ascii="Times New Roman" w:hAnsi="Times New Roman" w:cs="Times New Roman"/>
          <w:color w:val="000000" w:themeColor="text1"/>
        </w:rPr>
        <w:t>.</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7B7771">
        <w:tc>
          <w:tcPr>
            <w:tcW w:w="404"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7B7771">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keperluan rumah tangga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 xml:space="preserve">.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6E1FAF">
        <w:trPr>
          <w:jc w:val="center"/>
        </w:trPr>
        <w:tc>
          <w:tcPr>
            <w:tcW w:w="3145"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6E1FAF">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B9490D"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B9490D"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sidR="003A1F5E">
        <w:rPr>
          <w:rFonts w:ascii="Times New Roman" w:hAnsi="Times New Roman" w:cs="Times New Roman"/>
          <w:color w:val="000000" w:themeColor="text1"/>
          <w:sz w:val="24"/>
          <w:szCs w:val="24"/>
          <w:lang w:val="en-US"/>
        </w:rPr>
        <w:t>2015 sampai dengan 2019</w:t>
      </w:r>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w:t>
      </w:r>
      <w:r w:rsidR="003A1F5E">
        <w:rPr>
          <w:rFonts w:ascii="Times New Roman" w:hAnsi="Times New Roman" w:cs="Times New Roman"/>
          <w:color w:val="000000" w:themeColor="text1"/>
          <w:sz w:val="24"/>
          <w:szCs w:val="24"/>
          <w:lang w:val="en-US"/>
        </w:rPr>
        <w:t>2015 sampai dengan 2019</w:t>
      </w:r>
      <w:r>
        <w:rPr>
          <w:rFonts w:ascii="Times New Roman" w:hAnsi="Times New Roman" w:cs="Times New Roman"/>
          <w:color w:val="000000" w:themeColor="text1"/>
          <w:sz w:val="24"/>
          <w:szCs w:val="24"/>
          <w:lang w:val="en-US"/>
        </w:rPr>
        <w:t>.</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terdaftar di Bursa Efek Indonesia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memiliki laporan keuangan tahunan yang dipublikasikan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menghasilkan laba pada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Observasi dilakukan terhadap harga saham dan laporan keuangan tahunan perusahaan di sektor industri barang konsumsi subsektor kosmetik dan keperluan rumah tangga yang terdaftar di Bursa Efek Indonesia periode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E82606" w:rsidRPr="00D4289E" w:rsidRDefault="00E82606" w:rsidP="005A6995">
      <w:pPr>
        <w:pStyle w:val="NoSpacing"/>
        <w:spacing w:line="480" w:lineRule="auto"/>
        <w:ind w:left="540" w:hanging="522"/>
        <w:jc w:val="both"/>
        <w:rPr>
          <w:rFonts w:ascii="Times New Roman" w:hAnsi="Times New Roman" w:cs="Times New Roman"/>
          <w:sz w:val="24"/>
          <w:szCs w:val="24"/>
        </w:rPr>
      </w:pPr>
    </w:p>
    <w:sectPr w:rsidR="00E82606" w:rsidRPr="00D4289E" w:rsidSect="00CC15AB">
      <w:footerReference w:type="default" r:id="rId15"/>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90D" w:rsidRDefault="00B9490D" w:rsidP="004B67EB">
      <w:pPr>
        <w:spacing w:after="0" w:line="240" w:lineRule="auto"/>
      </w:pPr>
      <w:r>
        <w:separator/>
      </w:r>
    </w:p>
  </w:endnote>
  <w:endnote w:type="continuationSeparator" w:id="0">
    <w:p w:rsidR="00B9490D" w:rsidRDefault="00B9490D"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B9490D">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D26E9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265BC8">
          <w:rPr>
            <w:rFonts w:ascii="Times New Roman" w:hAnsi="Times New Roman" w:cs="Times New Roman"/>
            <w:noProof/>
          </w:rPr>
          <w:t>20</w:t>
        </w:r>
        <w:r w:rsidRPr="00CD2155">
          <w:rPr>
            <w:rFonts w:ascii="Times New Roman" w:hAnsi="Times New Roman" w:cs="Times New Roman"/>
            <w:noProof/>
          </w:rPr>
          <w:fldChar w:fldCharType="end"/>
        </w:r>
      </w:p>
    </w:sdtContent>
  </w:sdt>
  <w:p w:rsidR="0046301D" w:rsidRDefault="00B9490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EA382F">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127BAF">
          <w:rPr>
            <w:rFonts w:ascii="Times New Roman" w:hAnsi="Times New Roman" w:cs="Times New Roman"/>
            <w:noProof/>
          </w:rPr>
          <w:t>46</w:t>
        </w:r>
        <w:r w:rsidRPr="004A6F4B">
          <w:rPr>
            <w:rFonts w:ascii="Times New Roman" w:hAnsi="Times New Roman" w:cs="Times New Roman"/>
            <w:noProof/>
          </w:rPr>
          <w:fldChar w:fldCharType="end"/>
        </w:r>
      </w:p>
    </w:sdtContent>
  </w:sdt>
  <w:p w:rsidR="00052FB0" w:rsidRDefault="00B9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90D" w:rsidRDefault="00B9490D" w:rsidP="004B67EB">
      <w:pPr>
        <w:spacing w:after="0" w:line="240" w:lineRule="auto"/>
      </w:pPr>
      <w:r>
        <w:separator/>
      </w:r>
    </w:p>
  </w:footnote>
  <w:footnote w:type="continuationSeparator" w:id="0">
    <w:p w:rsidR="00B9490D" w:rsidRDefault="00B9490D"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4">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7">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3"/>
  </w:num>
  <w:num w:numId="5">
    <w:abstractNumId w:val="6"/>
  </w:num>
  <w:num w:numId="6">
    <w:abstractNumId w:val="17"/>
  </w:num>
  <w:num w:numId="7">
    <w:abstractNumId w:val="8"/>
  </w:num>
  <w:num w:numId="8">
    <w:abstractNumId w:val="5"/>
  </w:num>
  <w:num w:numId="9">
    <w:abstractNumId w:val="0"/>
  </w:num>
  <w:num w:numId="10">
    <w:abstractNumId w:val="15"/>
  </w:num>
  <w:num w:numId="11">
    <w:abstractNumId w:val="18"/>
  </w:num>
  <w:num w:numId="12">
    <w:abstractNumId w:val="3"/>
  </w:num>
  <w:num w:numId="13">
    <w:abstractNumId w:val="9"/>
  </w:num>
  <w:num w:numId="14">
    <w:abstractNumId w:val="4"/>
  </w:num>
  <w:num w:numId="15">
    <w:abstractNumId w:val="12"/>
  </w:num>
  <w:num w:numId="16">
    <w:abstractNumId w:val="11"/>
  </w:num>
  <w:num w:numId="17">
    <w:abstractNumId w:val="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27BAF"/>
    <w:rsid w:val="00143144"/>
    <w:rsid w:val="001532A7"/>
    <w:rsid w:val="00154C24"/>
    <w:rsid w:val="001551A6"/>
    <w:rsid w:val="00164096"/>
    <w:rsid w:val="00166B5E"/>
    <w:rsid w:val="001806DA"/>
    <w:rsid w:val="00182BA8"/>
    <w:rsid w:val="001865F4"/>
    <w:rsid w:val="00196055"/>
    <w:rsid w:val="00197DC4"/>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5BC8"/>
    <w:rsid w:val="00266819"/>
    <w:rsid w:val="00273652"/>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5860"/>
    <w:rsid w:val="003654F2"/>
    <w:rsid w:val="00371FF9"/>
    <w:rsid w:val="003865AC"/>
    <w:rsid w:val="0039406E"/>
    <w:rsid w:val="00395EC6"/>
    <w:rsid w:val="003A1F5E"/>
    <w:rsid w:val="003B4F77"/>
    <w:rsid w:val="003B6DE0"/>
    <w:rsid w:val="003B7311"/>
    <w:rsid w:val="003D4F27"/>
    <w:rsid w:val="003E244D"/>
    <w:rsid w:val="004024D3"/>
    <w:rsid w:val="0040685B"/>
    <w:rsid w:val="00437227"/>
    <w:rsid w:val="00446FD3"/>
    <w:rsid w:val="00471F06"/>
    <w:rsid w:val="0048066C"/>
    <w:rsid w:val="00487495"/>
    <w:rsid w:val="0049350A"/>
    <w:rsid w:val="004A7EDB"/>
    <w:rsid w:val="004B67EB"/>
    <w:rsid w:val="004C2D5C"/>
    <w:rsid w:val="004C2FC6"/>
    <w:rsid w:val="004C4F0B"/>
    <w:rsid w:val="004D64E7"/>
    <w:rsid w:val="004E1AFC"/>
    <w:rsid w:val="004E1F5A"/>
    <w:rsid w:val="00501F94"/>
    <w:rsid w:val="00503D4D"/>
    <w:rsid w:val="00505A73"/>
    <w:rsid w:val="00510DFA"/>
    <w:rsid w:val="0051190C"/>
    <w:rsid w:val="00511BF6"/>
    <w:rsid w:val="00532D76"/>
    <w:rsid w:val="00541E76"/>
    <w:rsid w:val="005522E4"/>
    <w:rsid w:val="0055722A"/>
    <w:rsid w:val="0055771B"/>
    <w:rsid w:val="0056538B"/>
    <w:rsid w:val="00571421"/>
    <w:rsid w:val="00574782"/>
    <w:rsid w:val="00586641"/>
    <w:rsid w:val="00595068"/>
    <w:rsid w:val="005A2582"/>
    <w:rsid w:val="005A6995"/>
    <w:rsid w:val="005A7CA4"/>
    <w:rsid w:val="005C4C29"/>
    <w:rsid w:val="005E2AF9"/>
    <w:rsid w:val="005E409B"/>
    <w:rsid w:val="005E50E9"/>
    <w:rsid w:val="005E5570"/>
    <w:rsid w:val="005E66C7"/>
    <w:rsid w:val="005F0D1F"/>
    <w:rsid w:val="00623735"/>
    <w:rsid w:val="00630414"/>
    <w:rsid w:val="00636F15"/>
    <w:rsid w:val="006523B9"/>
    <w:rsid w:val="00656113"/>
    <w:rsid w:val="00677AF8"/>
    <w:rsid w:val="00685413"/>
    <w:rsid w:val="006A448B"/>
    <w:rsid w:val="006B20F4"/>
    <w:rsid w:val="006B555C"/>
    <w:rsid w:val="006B5C5F"/>
    <w:rsid w:val="006E3157"/>
    <w:rsid w:val="006E4FC0"/>
    <w:rsid w:val="006F0A0E"/>
    <w:rsid w:val="006F23C0"/>
    <w:rsid w:val="007005E9"/>
    <w:rsid w:val="007115C3"/>
    <w:rsid w:val="00717FB3"/>
    <w:rsid w:val="00724ADE"/>
    <w:rsid w:val="0072555D"/>
    <w:rsid w:val="00733627"/>
    <w:rsid w:val="00740468"/>
    <w:rsid w:val="00747380"/>
    <w:rsid w:val="00762E15"/>
    <w:rsid w:val="00765D4B"/>
    <w:rsid w:val="007708BF"/>
    <w:rsid w:val="00777077"/>
    <w:rsid w:val="00782E0F"/>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943D0"/>
    <w:rsid w:val="008A1DDF"/>
    <w:rsid w:val="008A5EFC"/>
    <w:rsid w:val="008B3324"/>
    <w:rsid w:val="008C29DE"/>
    <w:rsid w:val="008C4E6B"/>
    <w:rsid w:val="008C7689"/>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A3EFE"/>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65697"/>
    <w:rsid w:val="00B73C70"/>
    <w:rsid w:val="00B82D78"/>
    <w:rsid w:val="00B9490D"/>
    <w:rsid w:val="00B958D5"/>
    <w:rsid w:val="00BA01C9"/>
    <w:rsid w:val="00BA62C4"/>
    <w:rsid w:val="00BB27F8"/>
    <w:rsid w:val="00BB7EA5"/>
    <w:rsid w:val="00BD79EE"/>
    <w:rsid w:val="00BD7EBF"/>
    <w:rsid w:val="00BE0CF6"/>
    <w:rsid w:val="00BE14E3"/>
    <w:rsid w:val="00BE1A5F"/>
    <w:rsid w:val="00C039ED"/>
    <w:rsid w:val="00C04FEA"/>
    <w:rsid w:val="00C05271"/>
    <w:rsid w:val="00C239A1"/>
    <w:rsid w:val="00C23F8F"/>
    <w:rsid w:val="00C303A4"/>
    <w:rsid w:val="00C60322"/>
    <w:rsid w:val="00C63908"/>
    <w:rsid w:val="00C64669"/>
    <w:rsid w:val="00C7155F"/>
    <w:rsid w:val="00C86F37"/>
    <w:rsid w:val="00C93902"/>
    <w:rsid w:val="00CA052E"/>
    <w:rsid w:val="00CB609F"/>
    <w:rsid w:val="00CC15AB"/>
    <w:rsid w:val="00CD4B19"/>
    <w:rsid w:val="00CE234F"/>
    <w:rsid w:val="00CE7F68"/>
    <w:rsid w:val="00CF0A92"/>
    <w:rsid w:val="00D26E96"/>
    <w:rsid w:val="00D313CD"/>
    <w:rsid w:val="00D4289E"/>
    <w:rsid w:val="00D435C2"/>
    <w:rsid w:val="00D53110"/>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2606"/>
    <w:rsid w:val="00E83E41"/>
    <w:rsid w:val="00E86E3A"/>
    <w:rsid w:val="00E87D0C"/>
    <w:rsid w:val="00EA382F"/>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46</Pages>
  <Words>8535</Words>
  <Characters>48653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7</cp:revision>
  <dcterms:created xsi:type="dcterms:W3CDTF">2020-07-28T06:51:00Z</dcterms:created>
  <dcterms:modified xsi:type="dcterms:W3CDTF">2020-07-28T07:04:00Z</dcterms:modified>
</cp:coreProperties>
</file>