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:rsidR="00557B6A" w:rsidRDefault="00557B6A" w:rsidP="00557B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7B6A" w:rsidRPr="0057478C" w:rsidRDefault="00557B6A" w:rsidP="0057478C">
      <w:p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478C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7B6A" w:rsidRPr="0057478C" w:rsidRDefault="00557B6A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>Dari hasil analisis data, pengujian hipotesis dan pembahasan, maka dapat ditarik kesimpulan dari penelitian ini sebagai berikut :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(CR) berpengaruh positif secara signifikan terhadap harga saham. Semakin tinggi tingkat </w:t>
      </w:r>
      <w:r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perusahaan, maka semakin baik harga saham.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 </w:t>
      </w:r>
      <w:proofErr w:type="spellStart"/>
      <w:r w:rsidRPr="0057478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secara signifikan terhadap harga saham. 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5747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7478C">
        <w:rPr>
          <w:rFonts w:ascii="Times New Roman" w:hAnsi="Times New Roman" w:cs="Times New Roman"/>
          <w:sz w:val="24"/>
          <w:szCs w:val="24"/>
        </w:rPr>
        <w:t xml:space="preserve"> menandakan jumlah utang yang semakin meningkat atau keberadaan modal sendiri yang semakin rendah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  <w:lang w:val="en-US"/>
        </w:rPr>
        <w:t>current ratio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7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 berpengaruh positif secara signifikan terhadap harga saham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57B6A" w:rsidRPr="0057478C" w:rsidRDefault="00557B6A" w:rsidP="0057478C">
      <w:pPr>
        <w:pStyle w:val="ListParagraph"/>
        <w:numPr>
          <w:ilvl w:val="1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78C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64A94" w:rsidRDefault="0057478C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Berdasarkan kesimpulan diatas, maka dapat disampaikan juga beberapa saran, yakni sebagai berikut. </w:t>
      </w:r>
    </w:p>
    <w:p w:rsidR="0057478C" w:rsidRPr="00064A94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94">
        <w:rPr>
          <w:rFonts w:ascii="Times New Roman" w:hAnsi="Times New Roman" w:cs="Times New Roman"/>
          <w:sz w:val="24"/>
          <w:szCs w:val="24"/>
        </w:rPr>
        <w:t xml:space="preserve">Terkait dengan penelitian ini, bagi investor yang ingin melakukan analisis fundamental dalam menentukan harga saham disarankan untuk menggunakan 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current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dalam pertimbangannya. Hal ini dikarenakan hasil dari penelitian ini yang menunjukan bahwa 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current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berpengaruh pada harga saham.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064A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perusahaan harus lebih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meningkatkan 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current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sehingga </w:t>
      </w:r>
      <w:proofErr w:type="spellStart"/>
      <w:proofErr w:type="gramStart"/>
      <w:r w:rsidRPr="00064A9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>dapat meningkatkan harga saham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kualitas perusahaan sebagai upaya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9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peningkatan harga saham. Investor juga dapat tetap memperhatikan </w:t>
      </w:r>
      <w:r w:rsidRPr="00064A94">
        <w:rPr>
          <w:rFonts w:ascii="Times New Roman" w:hAnsi="Times New Roman" w:cs="Times New Roman"/>
          <w:i/>
          <w:sz w:val="24"/>
          <w:szCs w:val="24"/>
        </w:rPr>
        <w:t>current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dan </w:t>
      </w:r>
      <w:r w:rsidRPr="00064A9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namun sebagai penentu tingkat likuiditas dan solvabilitas perusahaan. </w:t>
      </w:r>
    </w:p>
    <w:p w:rsidR="00ED4F2A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4F2A">
        <w:rPr>
          <w:rFonts w:ascii="Times New Roman" w:hAnsi="Times New Roman" w:cs="Times New Roman"/>
          <w:sz w:val="24"/>
          <w:szCs w:val="24"/>
        </w:rPr>
        <w:t xml:space="preserve">Penelitian ini masih terbatas pada pengaruh </w:t>
      </w:r>
      <w:r w:rsidRPr="00064A94">
        <w:rPr>
          <w:rFonts w:ascii="Times New Roman" w:hAnsi="Times New Roman" w:cs="Times New Roman"/>
          <w:i/>
          <w:sz w:val="24"/>
          <w:szCs w:val="24"/>
        </w:rPr>
        <w:t>Current</w:t>
      </w:r>
      <w:r w:rsidRPr="00ED4F2A">
        <w:rPr>
          <w:rFonts w:ascii="Times New Roman" w:hAnsi="Times New Roman" w:cs="Times New Roman"/>
          <w:i/>
          <w:sz w:val="24"/>
          <w:szCs w:val="24"/>
        </w:rPr>
        <w:t xml:space="preserve"> ratio, Debt to equity ratio</w:t>
      </w:r>
      <w:r w:rsidRPr="00ED4F2A">
        <w:rPr>
          <w:rFonts w:ascii="Times New Roman" w:hAnsi="Times New Roman" w:cs="Times New Roman"/>
          <w:sz w:val="24"/>
          <w:szCs w:val="24"/>
        </w:rPr>
        <w:t xml:space="preserve"> pada harga saham sehingga didapat R </w:t>
      </w:r>
      <w:r w:rsidRPr="00064A94">
        <w:rPr>
          <w:rFonts w:ascii="Times New Roman" w:hAnsi="Times New Roman" w:cs="Times New Roman"/>
          <w:i/>
          <w:sz w:val="24"/>
          <w:szCs w:val="24"/>
        </w:rPr>
        <w:t>Square</w:t>
      </w:r>
      <w:r w:rsidRPr="00ED4F2A">
        <w:rPr>
          <w:rFonts w:ascii="Times New Roman" w:hAnsi="Times New Roman" w:cs="Times New Roman"/>
          <w:sz w:val="24"/>
          <w:szCs w:val="24"/>
        </w:rPr>
        <w:t xml:space="preserve"> yang m</w:t>
      </w:r>
      <w:r w:rsidRPr="00ED4F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4F2A">
        <w:rPr>
          <w:rFonts w:ascii="Times New Roman" w:hAnsi="Times New Roman" w:cs="Times New Roman"/>
          <w:sz w:val="24"/>
          <w:szCs w:val="24"/>
        </w:rPr>
        <w:t>sih tergolong kecil, maka dari itu untuk peneliti selanjutnya dapat dilakukan penambahan variabel lai</w:t>
      </w:r>
      <w:r w:rsidR="00ED4F2A">
        <w:rPr>
          <w:rFonts w:ascii="Times New Roman" w:hAnsi="Times New Roman" w:cs="Times New Roman"/>
          <w:sz w:val="24"/>
          <w:szCs w:val="24"/>
        </w:rPr>
        <w:t>nnya seperti variabel arus kas</w:t>
      </w:r>
      <w:r w:rsidR="00ED4F2A" w:rsidRPr="0057478C">
        <w:rPr>
          <w:rFonts w:ascii="Times New Roman" w:hAnsi="Times New Roman" w:cs="Times New Roman"/>
          <w:sz w:val="24"/>
          <w:szCs w:val="24"/>
        </w:rPr>
        <w:t>, serta memperluas kembali kasus dan tahun penelitian</w:t>
      </w:r>
      <w:r w:rsidR="00ED4F2A"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A" w:rsidRPr="0057478C">
        <w:rPr>
          <w:rFonts w:ascii="Times New Roman" w:hAnsi="Times New Roman" w:cs="Times New Roman"/>
          <w:sz w:val="24"/>
          <w:szCs w:val="24"/>
        </w:rPr>
        <w:t>sehingga data yang diperoleh semakin banyak dengan variasi data yang besar.</w:t>
      </w:r>
      <w:r w:rsidR="00ED4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7B6A" w:rsidRPr="00ED4F2A" w:rsidRDefault="00557B6A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sz w:val="24"/>
          <w:szCs w:val="24"/>
        </w:rPr>
        <w:t>Pemerintah yang terkait harus lebih memperhatikan kembali regulasi yang terdapat di BEI supaya dapat meningkat laporan keuangan perusahaan LQ45 yang sudah tidak listing kembali.</w:t>
      </w:r>
    </w:p>
    <w:p w:rsidR="0057478C" w:rsidRPr="00ED4F2A" w:rsidRDefault="0057478C" w:rsidP="00ED4F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78C" w:rsidRPr="00ED4F2A" w:rsidSect="00237D56">
      <w:head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720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53" w:rsidRDefault="00286353" w:rsidP="00904CD5">
      <w:pPr>
        <w:spacing w:after="0" w:line="240" w:lineRule="auto"/>
      </w:pPr>
      <w:r>
        <w:separator/>
      </w:r>
    </w:p>
  </w:endnote>
  <w:end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0598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D56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53" w:rsidRDefault="00286353" w:rsidP="00904CD5">
      <w:pPr>
        <w:spacing w:after="0" w:line="240" w:lineRule="auto"/>
      </w:pPr>
      <w:r>
        <w:separator/>
      </w:r>
    </w:p>
  </w:footnote>
  <w:foot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49599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D56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CD5" w:rsidRDefault="00904CD5">
    <w:pPr>
      <w:pStyle w:val="Header"/>
      <w:jc w:val="right"/>
    </w:pPr>
  </w:p>
  <w:p w:rsidR="00904CD5" w:rsidRDefault="00904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11A"/>
    <w:multiLevelType w:val="hybridMultilevel"/>
    <w:tmpl w:val="C764FADC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>
    <w:nsid w:val="1DCF49D2"/>
    <w:multiLevelType w:val="hybridMultilevel"/>
    <w:tmpl w:val="AF247238"/>
    <w:lvl w:ilvl="0" w:tplc="621C596A">
      <w:start w:val="1"/>
      <w:numFmt w:val="decimal"/>
      <w:lvlText w:val="%1."/>
      <w:lvlJc w:val="left"/>
      <w:pPr>
        <w:ind w:left="2311" w:hanging="9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>
    <w:nsid w:val="1E8500A4"/>
    <w:multiLevelType w:val="hybridMultilevel"/>
    <w:tmpl w:val="64DCDF44"/>
    <w:lvl w:ilvl="0" w:tplc="2E54954C">
      <w:start w:val="1"/>
      <w:numFmt w:val="decimal"/>
      <w:lvlText w:val="%1."/>
      <w:lvlJc w:val="left"/>
      <w:pPr>
        <w:ind w:left="22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BD95236"/>
    <w:multiLevelType w:val="hybridMultilevel"/>
    <w:tmpl w:val="0AFE316A"/>
    <w:lvl w:ilvl="0" w:tplc="2E54954C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">
    <w:nsid w:val="445D6496"/>
    <w:multiLevelType w:val="hybridMultilevel"/>
    <w:tmpl w:val="9964315A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>
    <w:nsid w:val="4FDD17B8"/>
    <w:multiLevelType w:val="hybridMultilevel"/>
    <w:tmpl w:val="6D3652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>
    <w:nsid w:val="7E8202E9"/>
    <w:multiLevelType w:val="multilevel"/>
    <w:tmpl w:val="BCC212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A"/>
    <w:rsid w:val="00064A94"/>
    <w:rsid w:val="00237D56"/>
    <w:rsid w:val="00286353"/>
    <w:rsid w:val="00557B6A"/>
    <w:rsid w:val="0057478C"/>
    <w:rsid w:val="00904CD5"/>
    <w:rsid w:val="009A0DF4"/>
    <w:rsid w:val="00E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2020-07-07T05:59:00Z</dcterms:created>
  <dcterms:modified xsi:type="dcterms:W3CDTF">2020-07-07T05:59:00Z</dcterms:modified>
</cp:coreProperties>
</file>