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8AE4" w14:textId="78BD51A8" w:rsidR="00FA64F4" w:rsidRPr="00B75619" w:rsidRDefault="00FA64F4" w:rsidP="00B756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5619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0023264C" w14:textId="597925D2" w:rsidR="00FA64F4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17ACBEEF" w14:textId="77777777" w:rsidR="00B75619" w:rsidRPr="00B75619" w:rsidRDefault="00B75619" w:rsidP="00B75619"/>
    <w:p w14:paraId="5F80E070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53B1B189" w:rsidR="00FA64F4" w:rsidRPr="00E26598" w:rsidRDefault="00525437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605422E9" w:rsidR="00FA64F4" w:rsidRPr="00E26598" w:rsidRDefault="00525437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6B041E5B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(2016: 12)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sektor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industri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kimia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r w:rsidR="006E1084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6E1084">
        <w:rPr>
          <w:rFonts w:ascii="Times New Roman" w:hAnsi="Times New Roman" w:cs="Times New Roman"/>
          <w:iCs/>
          <w:sz w:val="24"/>
          <w:szCs w:val="24"/>
        </w:rPr>
        <w:t>dirilis</w:t>
      </w:r>
      <w:proofErr w:type="spellEnd"/>
      <w:r w:rsidR="006E108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6183A">
        <w:rPr>
          <w:rFonts w:ascii="Times New Roman" w:hAnsi="Times New Roman" w:cs="Times New Roman"/>
          <w:iCs/>
          <w:sz w:val="24"/>
          <w:szCs w:val="24"/>
        </w:rPr>
        <w:t>selama</w:t>
      </w:r>
      <w:proofErr w:type="spellEnd"/>
      <w:r w:rsidR="004618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45588">
        <w:rPr>
          <w:rFonts w:ascii="Times New Roman" w:hAnsi="Times New Roman" w:cs="Times New Roman"/>
          <w:iCs/>
          <w:sz w:val="24"/>
          <w:szCs w:val="24"/>
        </w:rPr>
        <w:t>p</w:t>
      </w:r>
      <w:r w:rsidRPr="00E26598">
        <w:rPr>
          <w:rFonts w:ascii="Times New Roman" w:hAnsi="Times New Roman" w:cs="Times New Roman"/>
          <w:iCs/>
          <w:sz w:val="24"/>
          <w:szCs w:val="24"/>
        </w:rPr>
        <w:t>eriode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iCs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948BA2B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297369DE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</w:t>
      </w:r>
      <w:r w:rsidR="00E3414C" w:rsidRPr="00E2659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E3414C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, Yahoo Finance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</w:t>
      </w:r>
      <w:r w:rsidR="00E3414C" w:rsidRPr="00E26598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76419B"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pendukung</w:t>
      </w:r>
      <w:r w:rsidR="00BC5E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32648A4A" w14:textId="77777777" w:rsidR="00FA64F4" w:rsidRPr="00E26598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5363D621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2018:80).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778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86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EE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54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85733" w:rsidRPr="00E26598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industr</w:t>
      </w:r>
      <w:r w:rsidR="00F738FA" w:rsidRPr="00E26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="00895AF1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8</w:t>
      </w:r>
      <w:r w:rsidR="00790191">
        <w:rPr>
          <w:rFonts w:ascii="Times New Roman" w:hAnsi="Times New Roman" w:cs="Times New Roman"/>
          <w:sz w:val="24"/>
          <w:szCs w:val="24"/>
        </w:rPr>
        <w:t>0</w:t>
      </w:r>
      <w:r w:rsidR="00895AF1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147702FA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</w:t>
      </w:r>
      <w:r w:rsidR="00963158" w:rsidRPr="00E26598">
        <w:rPr>
          <w:rFonts w:ascii="Times New Roman" w:hAnsi="Times New Roman" w:cs="Times New Roman"/>
          <w:sz w:val="24"/>
          <w:szCs w:val="24"/>
        </w:rPr>
        <w:t>i</w:t>
      </w:r>
      <w:r w:rsidRPr="00E2659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6566988B" w:rsidR="008E63C3" w:rsidRPr="00E26598" w:rsidRDefault="00D44789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E63C3" w:rsidRPr="00E26598">
        <w:rPr>
          <w:rFonts w:ascii="Times New Roman" w:hAnsi="Times New Roman" w:cs="Times New Roman"/>
          <w:sz w:val="24"/>
          <w:szCs w:val="24"/>
        </w:rPr>
        <w:t>ercatat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B4D0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790191">
        <w:rPr>
          <w:rFonts w:ascii="Times New Roman" w:hAnsi="Times New Roman" w:cs="Times New Roman"/>
          <w:sz w:val="24"/>
          <w:szCs w:val="24"/>
        </w:rPr>
        <w:t>60</w:t>
      </w:r>
      <w:r w:rsidR="006F5A67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019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 w:rsidRPr="00E26598">
        <w:rPr>
          <w:rFonts w:ascii="Times New Roman" w:hAnsi="Times New Roman" w:cs="Times New Roman"/>
          <w:sz w:val="24"/>
          <w:szCs w:val="24"/>
        </w:rPr>
        <w:t>)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20CF439" w:rsidR="008E63C3" w:rsidRPr="00E26598" w:rsidRDefault="008E63C3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B4D0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455BC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629B8C1C" w:rsidR="005A7DD3" w:rsidRPr="00E26598" w:rsidRDefault="005A7DD3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Perusahaan</w:t>
      </w:r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1</w:t>
      </w:r>
      <w:r w:rsidR="002B4D07">
        <w:rPr>
          <w:rFonts w:ascii="Times New Roman" w:hAnsi="Times New Roman" w:cs="Times New Roman"/>
          <w:sz w:val="24"/>
          <w:szCs w:val="24"/>
        </w:rPr>
        <w:t>5</w:t>
      </w:r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2B4D07">
        <w:rPr>
          <w:rFonts w:ascii="Times New Roman" w:hAnsi="Times New Roman" w:cs="Times New Roman"/>
          <w:sz w:val="24"/>
          <w:szCs w:val="24"/>
        </w:rPr>
        <w:t xml:space="preserve">lima </w:t>
      </w:r>
      <w:proofErr w:type="spellStart"/>
      <w:r w:rsidR="0087537F" w:rsidRPr="00E26598">
        <w:rPr>
          <w:rFonts w:ascii="Times New Roman" w:hAnsi="Times New Roman" w:cs="Times New Roman"/>
          <w:sz w:val="24"/>
          <w:szCs w:val="24"/>
        </w:rPr>
        <w:t>bela</w:t>
      </w:r>
      <w:r w:rsidR="00D51705" w:rsidRPr="00E2659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EA0D5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3241C">
        <w:rPr>
          <w:rFonts w:ascii="Times New Roman" w:hAnsi="Times New Roman" w:cs="Times New Roman"/>
          <w:sz w:val="24"/>
          <w:szCs w:val="24"/>
        </w:rPr>
        <w:t>ter</w:t>
      </w:r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tab</w:t>
      </w:r>
      <w:r w:rsidR="00FE5262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3210DD58" w:rsidR="005A7DD3" w:rsidRPr="00E26598" w:rsidRDefault="005A7DD3" w:rsidP="000A4A38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95120">
        <w:rPr>
          <w:rFonts w:ascii="Times New Roman" w:hAnsi="Times New Roman" w:cs="Times New Roman"/>
          <w:b/>
          <w:bCs/>
          <w:sz w:val="24"/>
          <w:szCs w:val="24"/>
        </w:rPr>
        <w:t xml:space="preserve"> III.1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2"/>
        <w:gridCol w:w="3117"/>
        <w:gridCol w:w="1188"/>
        <w:gridCol w:w="4275"/>
      </w:tblGrid>
      <w:tr w:rsidR="000A4A38" w:rsidRPr="002F48B1" w14:paraId="5E513D6E" w14:textId="77777777" w:rsidTr="0094257D">
        <w:tc>
          <w:tcPr>
            <w:tcW w:w="5000" w:type="pct"/>
            <w:gridSpan w:val="4"/>
          </w:tcPr>
          <w:p w14:paraId="71FBA762" w14:textId="01211A01" w:rsidR="000A4A38" w:rsidRPr="002F48B1" w:rsidRDefault="000A4A38" w:rsidP="009B439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Daftar Perusahaan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Sektor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Industri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Dasar dan Kimia</w:t>
            </w:r>
          </w:p>
        </w:tc>
      </w:tr>
      <w:tr w:rsidR="000A4A38" w:rsidRPr="002F48B1" w14:paraId="79F7858A" w14:textId="77777777" w:rsidTr="0094257D">
        <w:tc>
          <w:tcPr>
            <w:tcW w:w="398" w:type="pct"/>
            <w:vAlign w:val="center"/>
          </w:tcPr>
          <w:p w14:paraId="66D9C370" w14:textId="0D520D42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672" w:type="pct"/>
            <w:vAlign w:val="center"/>
          </w:tcPr>
          <w:p w14:paraId="5DA1A958" w14:textId="3E1D407D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Subsektor</w:t>
            </w:r>
            <w:proofErr w:type="spellEnd"/>
          </w:p>
        </w:tc>
        <w:tc>
          <w:tcPr>
            <w:tcW w:w="637" w:type="pct"/>
            <w:vAlign w:val="center"/>
          </w:tcPr>
          <w:p w14:paraId="1DEA8C2F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Kode</w:t>
            </w:r>
          </w:p>
        </w:tc>
        <w:tc>
          <w:tcPr>
            <w:tcW w:w="2293" w:type="pct"/>
            <w:vAlign w:val="center"/>
          </w:tcPr>
          <w:p w14:paraId="4A109A2D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</w:tr>
      <w:tr w:rsidR="000A4A38" w14:paraId="24DDEF52" w14:textId="77777777" w:rsidTr="0094257D">
        <w:tc>
          <w:tcPr>
            <w:tcW w:w="398" w:type="pct"/>
          </w:tcPr>
          <w:p w14:paraId="5EE1D634" w14:textId="1FD353AD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672" w:type="pct"/>
            <w:vMerge w:val="restart"/>
          </w:tcPr>
          <w:p w14:paraId="2EF7D757" w14:textId="15DA8AFE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Keramik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Kaca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Porselen</w:t>
            </w:r>
            <w:proofErr w:type="spellEnd"/>
          </w:p>
        </w:tc>
        <w:tc>
          <w:tcPr>
            <w:tcW w:w="637" w:type="pct"/>
          </w:tcPr>
          <w:p w14:paraId="750D01F7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AMFG</w:t>
            </w:r>
          </w:p>
        </w:tc>
        <w:tc>
          <w:tcPr>
            <w:tcW w:w="2293" w:type="pct"/>
          </w:tcPr>
          <w:p w14:paraId="0F114703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Asahimas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Flat Glass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7013A716" w14:textId="77777777" w:rsidTr="0094257D">
        <w:tc>
          <w:tcPr>
            <w:tcW w:w="398" w:type="pct"/>
          </w:tcPr>
          <w:p w14:paraId="68C4F548" w14:textId="093DDE41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672" w:type="pct"/>
            <w:vMerge/>
          </w:tcPr>
          <w:p w14:paraId="475DDC00" w14:textId="050E49CA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76CDD56C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KIAS</w:t>
            </w:r>
          </w:p>
        </w:tc>
        <w:tc>
          <w:tcPr>
            <w:tcW w:w="2293" w:type="pct"/>
          </w:tcPr>
          <w:p w14:paraId="51817FE0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Keramika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Assosiasi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07862703" w14:textId="77777777" w:rsidTr="0094257D">
        <w:tc>
          <w:tcPr>
            <w:tcW w:w="398" w:type="pct"/>
          </w:tcPr>
          <w:p w14:paraId="6E29DDA8" w14:textId="25842541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672" w:type="pct"/>
          </w:tcPr>
          <w:p w14:paraId="768824E8" w14:textId="1EA4FC91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Kimia</w:t>
            </w:r>
          </w:p>
        </w:tc>
        <w:tc>
          <w:tcPr>
            <w:tcW w:w="637" w:type="pct"/>
          </w:tcPr>
          <w:p w14:paraId="5FFCBDBC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ADMG</w:t>
            </w:r>
          </w:p>
        </w:tc>
        <w:tc>
          <w:tcPr>
            <w:tcW w:w="2293" w:type="pct"/>
          </w:tcPr>
          <w:p w14:paraId="7E07AD09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Polychem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310E1D06" w14:textId="77777777" w:rsidTr="0094257D">
        <w:tc>
          <w:tcPr>
            <w:tcW w:w="398" w:type="pct"/>
          </w:tcPr>
          <w:p w14:paraId="69F4ECC9" w14:textId="5995E695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672" w:type="pct"/>
            <w:vMerge w:val="restart"/>
          </w:tcPr>
          <w:p w14:paraId="6EACF958" w14:textId="0159F5C0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Logam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Sejenisnya</w:t>
            </w:r>
            <w:proofErr w:type="spellEnd"/>
          </w:p>
        </w:tc>
        <w:tc>
          <w:tcPr>
            <w:tcW w:w="637" w:type="pct"/>
          </w:tcPr>
          <w:p w14:paraId="7CE6A4B8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KRAS</w:t>
            </w:r>
          </w:p>
        </w:tc>
        <w:tc>
          <w:tcPr>
            <w:tcW w:w="2293" w:type="pct"/>
          </w:tcPr>
          <w:p w14:paraId="374A1B82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Krakatau Steel (Persero)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68F14389" w14:textId="77777777" w:rsidTr="0094257D">
        <w:tc>
          <w:tcPr>
            <w:tcW w:w="398" w:type="pct"/>
          </w:tcPr>
          <w:p w14:paraId="7384BDAF" w14:textId="66BBD644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lastRenderedPageBreak/>
              <w:t>5.</w:t>
            </w:r>
          </w:p>
        </w:tc>
        <w:tc>
          <w:tcPr>
            <w:tcW w:w="1672" w:type="pct"/>
            <w:vMerge/>
          </w:tcPr>
          <w:p w14:paraId="0A638981" w14:textId="7F0BAA0A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279EC4E0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GDST</w:t>
            </w:r>
          </w:p>
        </w:tc>
        <w:tc>
          <w:tcPr>
            <w:tcW w:w="2293" w:type="pct"/>
          </w:tcPr>
          <w:p w14:paraId="10F382E5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Gunawan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Dianjaya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Steel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13EC6A1B" w14:textId="77777777" w:rsidTr="0094257D">
        <w:tc>
          <w:tcPr>
            <w:tcW w:w="398" w:type="pct"/>
          </w:tcPr>
          <w:p w14:paraId="7F5A0CC8" w14:textId="4F17DD5F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672" w:type="pct"/>
            <w:vMerge/>
          </w:tcPr>
          <w:p w14:paraId="6EF8E307" w14:textId="7D87431B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5D2A6A1E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CTBN</w:t>
            </w:r>
          </w:p>
        </w:tc>
        <w:tc>
          <w:tcPr>
            <w:tcW w:w="2293" w:type="pct"/>
          </w:tcPr>
          <w:p w14:paraId="3F35F45D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1E52D6">
              <w:rPr>
                <w:rFonts w:ascii="Times New Roman" w:hAnsi="Times New Roman" w:cs="Times New Roman"/>
                <w:lang w:val="en-US"/>
              </w:rPr>
              <w:t xml:space="preserve">Citra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Tubindo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24457D4F" w14:textId="77777777" w:rsidTr="0094257D">
        <w:tc>
          <w:tcPr>
            <w:tcW w:w="398" w:type="pct"/>
          </w:tcPr>
          <w:p w14:paraId="43CDD443" w14:textId="61946A3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1672" w:type="pct"/>
            <w:vMerge/>
          </w:tcPr>
          <w:p w14:paraId="32D84EA4" w14:textId="49265E37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2F4DA659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ALMI</w:t>
            </w:r>
          </w:p>
        </w:tc>
        <w:tc>
          <w:tcPr>
            <w:tcW w:w="2293" w:type="pct"/>
          </w:tcPr>
          <w:p w14:paraId="50F363B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Alumindo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Light Metal Industry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4F5D2405" w14:textId="77777777" w:rsidTr="0094257D">
        <w:tc>
          <w:tcPr>
            <w:tcW w:w="398" w:type="pct"/>
          </w:tcPr>
          <w:p w14:paraId="36FA1745" w14:textId="15BB9E9E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1672" w:type="pct"/>
            <w:vMerge/>
          </w:tcPr>
          <w:p w14:paraId="278A7AE3" w14:textId="5FF9441D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06990B5E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BAJA</w:t>
            </w:r>
          </w:p>
        </w:tc>
        <w:tc>
          <w:tcPr>
            <w:tcW w:w="2293" w:type="pct"/>
          </w:tcPr>
          <w:p w14:paraId="3855D1C4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Saranacentral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Bajatama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423932B7" w14:textId="77777777" w:rsidTr="0094257D">
        <w:tc>
          <w:tcPr>
            <w:tcW w:w="398" w:type="pct"/>
          </w:tcPr>
          <w:p w14:paraId="5A88EFA6" w14:textId="59C0D6AF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1672" w:type="pct"/>
            <w:vMerge/>
          </w:tcPr>
          <w:p w14:paraId="62D55F76" w14:textId="78B6E818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2EBC1C57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LSMH</w:t>
            </w:r>
          </w:p>
        </w:tc>
        <w:tc>
          <w:tcPr>
            <w:tcW w:w="2293" w:type="pct"/>
          </w:tcPr>
          <w:p w14:paraId="019813B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Lionmesh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Prima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1EB0C227" w14:textId="77777777" w:rsidTr="0094257D">
        <w:tc>
          <w:tcPr>
            <w:tcW w:w="398" w:type="pct"/>
          </w:tcPr>
          <w:p w14:paraId="13B50F73" w14:textId="55F8D5C2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1672" w:type="pct"/>
            <w:vMerge w:val="restart"/>
          </w:tcPr>
          <w:p w14:paraId="792A7FD8" w14:textId="1D8CCCF9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Kemasan</w:t>
            </w:r>
            <w:proofErr w:type="spellEnd"/>
          </w:p>
        </w:tc>
        <w:tc>
          <w:tcPr>
            <w:tcW w:w="637" w:type="pct"/>
          </w:tcPr>
          <w:p w14:paraId="6E778903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BRNA</w:t>
            </w:r>
          </w:p>
        </w:tc>
        <w:tc>
          <w:tcPr>
            <w:tcW w:w="2293" w:type="pct"/>
          </w:tcPr>
          <w:p w14:paraId="7AD0288E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Berlina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32DDF169" w14:textId="77777777" w:rsidTr="0094257D">
        <w:tc>
          <w:tcPr>
            <w:tcW w:w="398" w:type="pct"/>
          </w:tcPr>
          <w:p w14:paraId="3BEB91F3" w14:textId="462D59AE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1672" w:type="pct"/>
            <w:vMerge/>
          </w:tcPr>
          <w:p w14:paraId="0BB96C40" w14:textId="4F77D1CF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637A7F88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FPNI</w:t>
            </w:r>
          </w:p>
        </w:tc>
        <w:tc>
          <w:tcPr>
            <w:tcW w:w="2293" w:type="pct"/>
          </w:tcPr>
          <w:p w14:paraId="6D7B6BA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Lotte Chemical Titan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5A509F6A" w14:textId="77777777" w:rsidTr="0094257D">
        <w:tc>
          <w:tcPr>
            <w:tcW w:w="398" w:type="pct"/>
          </w:tcPr>
          <w:p w14:paraId="7221F148" w14:textId="54D638C2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1672" w:type="pct"/>
            <w:vMerge/>
          </w:tcPr>
          <w:p w14:paraId="4B833EFF" w14:textId="42B8D002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05149A14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YPAS</w:t>
            </w:r>
          </w:p>
        </w:tc>
        <w:tc>
          <w:tcPr>
            <w:tcW w:w="2293" w:type="pct"/>
          </w:tcPr>
          <w:p w14:paraId="026791CA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Yanaprima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Hastapersada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6D84C5F8" w14:textId="77777777" w:rsidTr="0094257D">
        <w:tc>
          <w:tcPr>
            <w:tcW w:w="398" w:type="pct"/>
          </w:tcPr>
          <w:p w14:paraId="740F2472" w14:textId="394C4E6E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1672" w:type="pct"/>
            <w:vMerge w:val="restart"/>
          </w:tcPr>
          <w:p w14:paraId="4916B704" w14:textId="0EF7360D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Kayu</w:t>
            </w:r>
          </w:p>
        </w:tc>
        <w:tc>
          <w:tcPr>
            <w:tcW w:w="637" w:type="pct"/>
          </w:tcPr>
          <w:p w14:paraId="0777DFC3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SULI</w:t>
            </w:r>
          </w:p>
        </w:tc>
        <w:tc>
          <w:tcPr>
            <w:tcW w:w="2293" w:type="pct"/>
          </w:tcPr>
          <w:p w14:paraId="1CCFDE02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SLJ Global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468D33B3" w14:textId="77777777" w:rsidTr="0094257D">
        <w:tc>
          <w:tcPr>
            <w:tcW w:w="398" w:type="pct"/>
          </w:tcPr>
          <w:p w14:paraId="15260A0B" w14:textId="3F69B7A4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1672" w:type="pct"/>
            <w:vMerge/>
          </w:tcPr>
          <w:p w14:paraId="6B1AD17E" w14:textId="699A0EEE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7EE3B054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TIRT</w:t>
            </w:r>
          </w:p>
        </w:tc>
        <w:tc>
          <w:tcPr>
            <w:tcW w:w="2293" w:type="pct"/>
          </w:tcPr>
          <w:p w14:paraId="7FF0738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Tirta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Mahakam Resources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6FA4A2F2" w14:textId="77777777" w:rsidTr="0094257D">
        <w:tc>
          <w:tcPr>
            <w:tcW w:w="398" w:type="pct"/>
          </w:tcPr>
          <w:p w14:paraId="37DC3658" w14:textId="55B6D4B6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1672" w:type="pct"/>
          </w:tcPr>
          <w:p w14:paraId="0AC0B30D" w14:textId="3D7C5C0D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Lain-lain</w:t>
            </w:r>
          </w:p>
        </w:tc>
        <w:tc>
          <w:tcPr>
            <w:tcW w:w="637" w:type="pct"/>
          </w:tcPr>
          <w:p w14:paraId="1DA1AE8D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INCF</w:t>
            </w:r>
          </w:p>
        </w:tc>
        <w:tc>
          <w:tcPr>
            <w:tcW w:w="2293" w:type="pct"/>
          </w:tcPr>
          <w:p w14:paraId="5EB20CDF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4D7678">
              <w:rPr>
                <w:rFonts w:ascii="Times New Roman" w:hAnsi="Times New Roman" w:cs="Times New Roman"/>
                <w:lang w:val="en-US"/>
              </w:rPr>
              <w:t xml:space="preserve">Indo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Komoditi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Korpora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</w:tbl>
    <w:p w14:paraId="67F0DFE2" w14:textId="1C9DA680" w:rsidR="005A7DD3" w:rsidRDefault="005A7DD3" w:rsidP="00D031C2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9348B" w14:textId="77777777" w:rsidR="00D031C2" w:rsidRPr="00E26598" w:rsidRDefault="00D031C2" w:rsidP="00D031C2">
      <w:pPr>
        <w:spacing w:line="480" w:lineRule="auto"/>
      </w:pPr>
    </w:p>
    <w:p w14:paraId="3BEBB142" w14:textId="779FA6C7" w:rsidR="00ED78ED" w:rsidRPr="00E26598" w:rsidRDefault="00ED78ED">
      <w:pPr>
        <w:pStyle w:val="Heading2"/>
        <w:numPr>
          <w:ilvl w:val="1"/>
          <w:numId w:val="11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Pr="00E26598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68118EDB" w:rsidR="00865936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="00AA0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004D">
        <w:rPr>
          <w:rFonts w:ascii="Times New Roman" w:hAnsi="Times New Roman" w:cs="Times New Roman"/>
          <w:sz w:val="24"/>
          <w:szCs w:val="24"/>
        </w:rPr>
        <w:t xml:space="preserve"> </w:t>
      </w:r>
      <w:r w:rsidR="00AA004D" w:rsidRPr="00AA004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AA004D">
        <w:rPr>
          <w:rFonts w:ascii="Times New Roman" w:hAnsi="Times New Roman" w:cs="Times New Roman"/>
          <w:sz w:val="24"/>
          <w:szCs w:val="24"/>
        </w:rPr>
        <w:t xml:space="preserve"> BEI</w:t>
      </w:r>
      <w:r w:rsidRPr="00E2659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F52">
        <w:rPr>
          <w:rFonts w:ascii="Times New Roman" w:hAnsi="Times New Roman" w:cs="Times New Roman"/>
          <w:sz w:val="24"/>
          <w:szCs w:val="24"/>
        </w:rPr>
        <w:t xml:space="preserve"> </w:t>
      </w:r>
      <w:r w:rsidR="00A12F52" w:rsidRPr="00A12F52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F52">
        <w:rPr>
          <w:rFonts w:ascii="Times New Roman" w:hAnsi="Times New Roman" w:cs="Times New Roman"/>
          <w:sz w:val="24"/>
          <w:szCs w:val="24"/>
        </w:rPr>
        <w:t xml:space="preserve"> </w:t>
      </w:r>
      <w:r w:rsidR="00A12F52" w:rsidRPr="002B2599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4A26751" w14:textId="77777777" w:rsidR="0033240B" w:rsidRDefault="0033240B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97D394" w14:textId="45E8465B" w:rsidR="00FA64F4" w:rsidRPr="00E26598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36FD36D1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16684"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>.</w:t>
      </w:r>
    </w:p>
    <w:p w14:paraId="66033793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lastRenderedPageBreak/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15DF2611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</w:t>
      </w:r>
      <w:r w:rsidRPr="000B7F73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B96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163EC" w14:textId="77777777" w:rsidR="00F07CCF" w:rsidRPr="00E26598" w:rsidRDefault="00F07CCF" w:rsidP="00F07CCF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5CC58029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Dimana:</w:t>
      </w:r>
    </w:p>
    <w:p w14:paraId="1FD29D02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X1: WCTA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DDE0FB8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X2: RETA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7B0DF64F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X3: EBITTA (</w:t>
      </w:r>
      <w:proofErr w:type="spellStart"/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77AB62E6" w14:textId="77777777" w:rsidR="00F07CCF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X4: MVEBVL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327C34C6" w14:textId="1EB1B16F" w:rsidR="00F07CCF" w:rsidRDefault="00F07CCF" w:rsidP="00F07CCF">
      <w:p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X5: STA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284B2A9C" w14:textId="77777777" w:rsidR="00460219" w:rsidRDefault="00953E34" w:rsidP="00953E34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>cut off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 xml:space="preserve"> </w:t>
      </w:r>
      <w:r w:rsidR="00460219" w:rsidRPr="0046021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21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Altman Z-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4602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>:</w:t>
      </w:r>
    </w:p>
    <w:p w14:paraId="0ECE3518" w14:textId="2FE27588" w:rsidR="00460219" w:rsidRDefault="00953E34" w:rsidP="006D7333">
      <w:pPr>
        <w:pStyle w:val="ListParagraph"/>
        <w:numPr>
          <w:ilvl w:val="0"/>
          <w:numId w:val="2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2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2,99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r w:rsidR="00B72DC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72DC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60219">
        <w:rPr>
          <w:rFonts w:ascii="Times New Roman" w:hAnsi="Times New Roman" w:cs="Times New Roman"/>
          <w:sz w:val="24"/>
          <w:szCs w:val="24"/>
        </w:rPr>
        <w:t>;</w:t>
      </w:r>
    </w:p>
    <w:p w14:paraId="45C8EC62" w14:textId="1DC3A94A" w:rsidR="00460219" w:rsidRDefault="00953E34" w:rsidP="006D7333">
      <w:pPr>
        <w:pStyle w:val="ListParagraph"/>
        <w:numPr>
          <w:ilvl w:val="0"/>
          <w:numId w:val="2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2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2,99 dan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1,8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r w:rsidR="00591780" w:rsidRPr="00591780">
        <w:rPr>
          <w:rFonts w:ascii="Times New Roman" w:hAnsi="Times New Roman" w:cs="Times New Roman"/>
          <w:i/>
          <w:iCs/>
          <w:sz w:val="24"/>
          <w:szCs w:val="24"/>
        </w:rPr>
        <w:t>grey area</w:t>
      </w:r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r w:rsidR="0059178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pada </w:t>
      </w:r>
      <w:r w:rsidRPr="0059178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60219">
        <w:rPr>
          <w:rFonts w:ascii="Times New Roman" w:hAnsi="Times New Roman" w:cs="Times New Roman"/>
          <w:sz w:val="24"/>
          <w:szCs w:val="24"/>
        </w:rPr>
        <w:t>;</w:t>
      </w:r>
    </w:p>
    <w:p w14:paraId="1F65F1E7" w14:textId="5AE47DA9" w:rsidR="00953E34" w:rsidRPr="00424776" w:rsidRDefault="00953E34" w:rsidP="00424776">
      <w:pPr>
        <w:pStyle w:val="ListParagraph"/>
        <w:numPr>
          <w:ilvl w:val="0"/>
          <w:numId w:val="2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2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1,8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60219" w:rsidRPr="00460219">
        <w:rPr>
          <w:rFonts w:ascii="Times New Roman" w:hAnsi="Times New Roman" w:cs="Times New Roman"/>
          <w:sz w:val="24"/>
          <w:szCs w:val="24"/>
        </w:rPr>
        <w:t>.</w:t>
      </w:r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14AA3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1941954" w14:textId="77777777" w:rsidR="00FA64F4" w:rsidRPr="00E26598" w:rsidRDefault="00FA64F4" w:rsidP="00C968A3">
      <w:pPr>
        <w:pStyle w:val="Heading4"/>
        <w:numPr>
          <w:ilvl w:val="0"/>
          <w:numId w:val="25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Profitabilitas</w:t>
      </w:r>
      <w:proofErr w:type="spellEnd"/>
    </w:p>
    <w:p w14:paraId="699C82F4" w14:textId="1D5F3A2F" w:rsidR="00FA64F4" w:rsidRDefault="00FD6599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A64F4" w:rsidRPr="00E26598">
        <w:rPr>
          <w:rFonts w:ascii="Times New Roman" w:hAnsi="Times New Roman" w:cs="Times New Roman"/>
          <w:sz w:val="24"/>
          <w:szCs w:val="24"/>
        </w:rPr>
        <w:t>rofitabilitas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082F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digunaka</w:t>
      </w:r>
      <w:r w:rsidR="00B525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r w:rsidR="00FA64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082F28">
        <w:rPr>
          <w:rFonts w:ascii="Times New Roman" w:hAnsi="Times New Roman" w:cs="Times New Roman"/>
          <w:i/>
          <w:iCs/>
          <w:sz w:val="24"/>
          <w:szCs w:val="24"/>
        </w:rPr>
        <w:t xml:space="preserve">equity </w:t>
      </w:r>
      <w:r w:rsidR="00082F28" w:rsidRPr="00082F28">
        <w:rPr>
          <w:rFonts w:ascii="Times New Roman" w:hAnsi="Times New Roman" w:cs="Times New Roman"/>
          <w:sz w:val="24"/>
          <w:szCs w:val="24"/>
        </w:rPr>
        <w:t>(</w:t>
      </w:r>
      <w:r w:rsidR="00082F28">
        <w:rPr>
          <w:rFonts w:ascii="Times New Roman" w:hAnsi="Times New Roman" w:cs="Times New Roman"/>
          <w:sz w:val="24"/>
          <w:szCs w:val="24"/>
        </w:rPr>
        <w:t>ROE</w:t>
      </w:r>
      <w:r w:rsidR="00FA64F4" w:rsidRPr="00E26598">
        <w:rPr>
          <w:rFonts w:ascii="Times New Roman" w:hAnsi="Times New Roman" w:cs="Times New Roman"/>
          <w:sz w:val="24"/>
          <w:szCs w:val="24"/>
        </w:rPr>
        <w:t xml:space="preserve">). </w:t>
      </w:r>
      <w:r w:rsidR="00FA64F4" w:rsidRPr="005B7A5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B7A5B" w:rsidRPr="005B7A5B">
        <w:rPr>
          <w:rFonts w:ascii="Times New Roman" w:hAnsi="Times New Roman" w:cs="Times New Roman"/>
          <w:i/>
          <w:iCs/>
          <w:sz w:val="24"/>
          <w:szCs w:val="24"/>
        </w:rPr>
        <w:t>eturn on equity</w:t>
      </w:r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42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5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5B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>.</w:t>
      </w:r>
      <w:r w:rsidR="00310EA3">
        <w:rPr>
          <w:rFonts w:ascii="Times New Roman" w:hAnsi="Times New Roman" w:cs="Times New Roman"/>
          <w:sz w:val="24"/>
          <w:szCs w:val="24"/>
        </w:rPr>
        <w:t xml:space="preserve"> </w:t>
      </w:r>
      <w:r w:rsidR="00B34A01">
        <w:rPr>
          <w:rFonts w:ascii="Times New Roman" w:hAnsi="Times New Roman" w:cs="Times New Roman"/>
          <w:sz w:val="24"/>
          <w:szCs w:val="24"/>
        </w:rPr>
        <w:t>Formula</w:t>
      </w:r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A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="00B34A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on equity</w:t>
      </w:r>
      <w:r w:rsidR="00B34A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34A01" w:rsidRPr="00B34A0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B34A01" w:rsidRP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 w:rsidRPr="00B34A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4A01" w:rsidRP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 w:rsidRPr="00B34A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>:</w:t>
      </w:r>
    </w:p>
    <w:p w14:paraId="357EA88E" w14:textId="1C6BA97D" w:rsidR="00310EA3" w:rsidRPr="00FA3BAB" w:rsidRDefault="00310EA3" w:rsidP="004107D8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/>
          <w:b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Return on Equity (ROE)=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Laba Bersih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Ekuitas</m:t>
              </m:r>
            </m:den>
          </m:f>
        </m:oMath>
      </m:oMathPara>
    </w:p>
    <w:p w14:paraId="0165B287" w14:textId="77777777" w:rsidR="00310EA3" w:rsidRPr="00E26598" w:rsidRDefault="00310EA3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58C9DF" w14:textId="77777777" w:rsidR="00FA64F4" w:rsidRPr="00E26598" w:rsidRDefault="00FA64F4" w:rsidP="00C968A3">
      <w:pPr>
        <w:pStyle w:val="Heading4"/>
        <w:numPr>
          <w:ilvl w:val="0"/>
          <w:numId w:val="25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72F0A8BF" w:rsidR="00FA64F4" w:rsidRDefault="004338E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FA64F4" w:rsidRPr="00E26598">
        <w:rPr>
          <w:rFonts w:ascii="Times New Roman" w:hAnsi="Times New Roman" w:cs="Times New Roman"/>
          <w:sz w:val="24"/>
          <w:szCs w:val="24"/>
        </w:rPr>
        <w:t>ikuiditas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5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5CD" w:rsidRPr="00B525CD">
        <w:rPr>
          <w:rFonts w:ascii="Times New Roman" w:hAnsi="Times New Roman" w:cs="Times New Roman"/>
          <w:i/>
          <w:iCs/>
          <w:sz w:val="24"/>
          <w:szCs w:val="24"/>
        </w:rPr>
        <w:t>quick</w:t>
      </w:r>
      <w:r w:rsidR="00B525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64F4" w:rsidRPr="00E26598">
        <w:rPr>
          <w:rFonts w:ascii="Times New Roman" w:hAnsi="Times New Roman" w:cs="Times New Roman"/>
          <w:i/>
          <w:iCs/>
          <w:sz w:val="24"/>
          <w:szCs w:val="24"/>
        </w:rPr>
        <w:t>ratio</w:t>
      </w:r>
      <w:r w:rsidR="00B525CD">
        <w:rPr>
          <w:rFonts w:ascii="Times New Roman" w:hAnsi="Times New Roman" w:cs="Times New Roman"/>
          <w:sz w:val="24"/>
          <w:szCs w:val="24"/>
        </w:rPr>
        <w:t xml:space="preserve"> (QR)</w:t>
      </w:r>
      <w:r w:rsidR="00FA64F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B525CD" w:rsidRPr="00B525CD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C53501">
        <w:rPr>
          <w:rFonts w:ascii="Times New Roman" w:hAnsi="Times New Roman" w:cs="Times New Roman"/>
          <w:i/>
          <w:iCs/>
          <w:sz w:val="24"/>
          <w:szCs w:val="24"/>
        </w:rPr>
        <w:t>uick ratio</w:t>
      </w:r>
      <w:r w:rsidR="00C53501" w:rsidRP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lanc</w:t>
      </w:r>
      <w:r w:rsidR="00D257BF">
        <w:rPr>
          <w:rFonts w:ascii="Times New Roman" w:hAnsi="Times New Roman" w:cs="Times New Roman"/>
          <w:sz w:val="24"/>
          <w:szCs w:val="24"/>
        </w:rPr>
        <w:t>a</w:t>
      </w:r>
      <w:r w:rsidR="00C5350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C53501" w:rsidRPr="00C53501">
        <w:rPr>
          <w:rFonts w:ascii="Times New Roman" w:hAnsi="Times New Roman" w:cs="Times New Roman"/>
          <w:sz w:val="24"/>
          <w:szCs w:val="24"/>
        </w:rPr>
        <w:t xml:space="preserve">. </w:t>
      </w:r>
      <w:r w:rsidR="00C53501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B525CD" w:rsidRPr="00B525CD">
        <w:rPr>
          <w:rFonts w:ascii="Times New Roman" w:hAnsi="Times New Roman" w:cs="Times New Roman"/>
          <w:i/>
          <w:iCs/>
          <w:sz w:val="24"/>
          <w:szCs w:val="24"/>
        </w:rPr>
        <w:t>uick ratio</w:t>
      </w:r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>.</w:t>
      </w:r>
      <w:r w:rsidR="00B34A01">
        <w:rPr>
          <w:rFonts w:ascii="Times New Roman" w:hAnsi="Times New Roman" w:cs="Times New Roman"/>
          <w:sz w:val="24"/>
          <w:szCs w:val="24"/>
        </w:rPr>
        <w:t xml:space="preserve"> Formula</w:t>
      </w:r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A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>:</w:t>
      </w:r>
    </w:p>
    <w:p w14:paraId="603905C2" w14:textId="6759D472" w:rsidR="00310EA3" w:rsidRPr="00FA3BAB" w:rsidRDefault="00310EA3" w:rsidP="004107D8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/>
          <w:b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Quick Ratio (QR)=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Aset Lancar-Persediaan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Kewajiban Lancar</m:t>
              </m:r>
            </m:den>
          </m:f>
        </m:oMath>
      </m:oMathPara>
    </w:p>
    <w:p w14:paraId="761D241C" w14:textId="77777777" w:rsidR="00101960" w:rsidRPr="00E26598" w:rsidRDefault="00101960" w:rsidP="004247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1E7E3" w14:textId="51CB882B" w:rsidR="00FA64F4" w:rsidRPr="000F4C4C" w:rsidRDefault="00FA64F4" w:rsidP="00C968A3">
      <w:pPr>
        <w:pStyle w:val="Heading4"/>
        <w:numPr>
          <w:ilvl w:val="0"/>
          <w:numId w:val="24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3051DBD9" w14:textId="6E69FBE0" w:rsidR="00101960" w:rsidRDefault="004906D1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A64F4" w:rsidRPr="000F4C4C">
        <w:rPr>
          <w:rFonts w:ascii="Times New Roman" w:hAnsi="Times New Roman" w:cs="Times New Roman"/>
          <w:sz w:val="24"/>
          <w:szCs w:val="24"/>
        </w:rPr>
        <w:t>olvabilitas</w:t>
      </w:r>
      <w:proofErr w:type="spellEnd"/>
      <w:r w:rsidR="00E63C93">
        <w:rPr>
          <w:rFonts w:ascii="Times New Roman" w:hAnsi="Times New Roman" w:cs="Times New Roman"/>
          <w:sz w:val="24"/>
          <w:szCs w:val="24"/>
        </w:rPr>
        <w:t xml:space="preserve"> (</w:t>
      </w:r>
      <w:r w:rsidR="00E63C93" w:rsidRPr="00E63C93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E63C93">
        <w:rPr>
          <w:rFonts w:ascii="Times New Roman" w:hAnsi="Times New Roman" w:cs="Times New Roman"/>
          <w:sz w:val="24"/>
          <w:szCs w:val="24"/>
        </w:rPr>
        <w:t>)</w:t>
      </w:r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16B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FA64F4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B16B6F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FA64F4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B16B6F">
        <w:rPr>
          <w:rFonts w:ascii="Times New Roman" w:hAnsi="Times New Roman" w:cs="Times New Roman"/>
          <w:sz w:val="24"/>
          <w:szCs w:val="24"/>
        </w:rPr>
        <w:t xml:space="preserve"> (DER)</w:t>
      </w:r>
      <w:r w:rsidR="00853436">
        <w:rPr>
          <w:rFonts w:ascii="Times New Roman" w:hAnsi="Times New Roman" w:cs="Times New Roman"/>
          <w:sz w:val="24"/>
          <w:szCs w:val="24"/>
        </w:rPr>
        <w:t xml:space="preserve">. </w:t>
      </w:r>
      <w:r w:rsidR="00CB0477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CB0477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ebt to </w:t>
      </w:r>
      <w:r w:rsidR="00CB0477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CB0477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. </w:t>
      </w:r>
      <w:r w:rsidR="00FA64F4" w:rsidRPr="0085343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16B6F" w:rsidRPr="00853436">
        <w:rPr>
          <w:rFonts w:ascii="Times New Roman" w:hAnsi="Times New Roman" w:cs="Times New Roman"/>
          <w:i/>
          <w:iCs/>
          <w:sz w:val="24"/>
          <w:szCs w:val="24"/>
        </w:rPr>
        <w:t>ebt to equity ratio</w:t>
      </w:r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0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082">
        <w:rPr>
          <w:rFonts w:ascii="Times New Roman" w:hAnsi="Times New Roman" w:cs="Times New Roman"/>
          <w:sz w:val="24"/>
          <w:szCs w:val="24"/>
        </w:rPr>
        <w:t xml:space="preserve"> </w:t>
      </w:r>
      <w:r w:rsidR="00FA64F4" w:rsidRPr="000F4C4C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FA64F4"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555BFB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>.</w:t>
      </w:r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r w:rsidR="005C7ABC">
        <w:rPr>
          <w:rFonts w:ascii="Times New Roman" w:hAnsi="Times New Roman" w:cs="Times New Roman"/>
          <w:sz w:val="24"/>
          <w:szCs w:val="24"/>
        </w:rPr>
        <w:t>Formula</w:t>
      </w:r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A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>:</w:t>
      </w:r>
    </w:p>
    <w:p w14:paraId="73F9F08E" w14:textId="712A4827" w:rsidR="004107D8" w:rsidRPr="00FA3BAB" w:rsidRDefault="004107D8" w:rsidP="004107D8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/>
          <w:b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Debt to Equity Ratio (DER)=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 Kewajiban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 Ekuitas</m:t>
              </m:r>
            </m:den>
          </m:f>
        </m:oMath>
      </m:oMathPara>
    </w:p>
    <w:p w14:paraId="5F89DF2E" w14:textId="2F91180E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549FC2" w14:textId="77777777" w:rsidR="006D510D" w:rsidRDefault="006D510D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520154" w14:textId="697FFDB1" w:rsidR="00FA64F4" w:rsidRPr="000F4C4C" w:rsidRDefault="005A3E6D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4F4E0561" w:rsidR="00FA64F4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D7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</w:t>
      </w:r>
      <w:r w:rsidR="0027673D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DA68C30" w14:textId="77777777" w:rsidR="00424776" w:rsidRPr="006C2763" w:rsidRDefault="00424776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52C081" w14:textId="77777777" w:rsidR="00FA64F4" w:rsidRPr="000F4C4C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5ED2BD56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minimum,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>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2011).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r w:rsidR="002728D4" w:rsidRPr="002728D4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="002728D4">
        <w:rPr>
          <w:rFonts w:ascii="Times New Roman" w:hAnsi="Times New Roman" w:cs="Times New Roman"/>
          <w:sz w:val="24"/>
          <w:szCs w:val="24"/>
        </w:rPr>
        <w:t xml:space="preserve"> dan kurtosis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3E1D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2F37C2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3E1D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4DE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oleh </w:t>
      </w:r>
      <w:r w:rsidR="00E374DE" w:rsidRPr="00E374DE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4DE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oleh </w:t>
      </w:r>
      <w:r w:rsidR="00E374DE" w:rsidRPr="00E374DE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4DE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oleh </w:t>
      </w:r>
      <w:r w:rsidR="00E374DE" w:rsidRPr="00E374DE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lastRenderedPageBreak/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C1314A1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1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4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A32C03">
        <w:rPr>
          <w:rFonts w:ascii="Times New Roman" w:hAnsi="Times New Roman" w:cs="Times New Roman"/>
          <w:sz w:val="24"/>
          <w:szCs w:val="24"/>
        </w:rPr>
        <w:t>data</w:t>
      </w:r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32C03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070FB8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ED6B19">
        <w:rPr>
          <w:rFonts w:ascii="Times New Roman" w:hAnsi="Times New Roman" w:cs="Times New Roman"/>
          <w:iCs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14C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14C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251736A0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r w:rsidR="00B539E2" w:rsidRPr="00252AEA">
        <w:rPr>
          <w:rFonts w:ascii="Times New Roman" w:hAnsi="Times New Roman"/>
          <w:sz w:val="24"/>
          <w:szCs w:val="24"/>
        </w:rPr>
        <w:t xml:space="preserve">Model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regresi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baik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seharusnya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tidak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terjadi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korelasi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diantara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>
        <w:rPr>
          <w:rFonts w:ascii="Times New Roman" w:hAnsi="Times New Roman"/>
          <w:sz w:val="24"/>
          <w:szCs w:val="24"/>
        </w:rPr>
        <w:t>variabel</w:t>
      </w:r>
      <w:proofErr w:type="spellEnd"/>
      <w:r w:rsidR="00B539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>
        <w:rPr>
          <w:rFonts w:ascii="Times New Roman" w:hAnsi="Times New Roman"/>
          <w:sz w:val="24"/>
          <w:szCs w:val="24"/>
        </w:rPr>
        <w:t>bebas</w:t>
      </w:r>
      <w:proofErr w:type="spellEnd"/>
      <w:r w:rsidR="00B53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="000F3E11" w:rsidRPr="000F3E11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4B02CC81" w:rsidR="00FA64F4" w:rsidRPr="000F4C4C" w:rsidRDefault="00FA64F4">
      <w:pPr>
        <w:pStyle w:val="NoSpacing"/>
        <w:numPr>
          <w:ilvl w:val="0"/>
          <w:numId w:val="1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</w:t>
      </w:r>
      <w:r w:rsidR="0032756B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>
      <w:pPr>
        <w:pStyle w:val="NoSpacing"/>
        <w:numPr>
          <w:ilvl w:val="0"/>
          <w:numId w:val="1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2710EA9E" w14:textId="424CDCF2" w:rsidR="00DB496E" w:rsidRDefault="00FA64F4" w:rsidP="00DB496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)</w:t>
      </w:r>
      <w:r w:rsidR="005C56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5681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="005C5681">
        <w:rPr>
          <w:rFonts w:ascii="Times New Roman" w:hAnsi="Times New Roman" w:cs="Times New Roman"/>
          <w:sz w:val="24"/>
          <w:szCs w:val="24"/>
        </w:rPr>
        <w:t>, 201</w:t>
      </w:r>
      <w:r w:rsidR="00011273">
        <w:rPr>
          <w:rFonts w:ascii="Times New Roman" w:hAnsi="Times New Roman" w:cs="Times New Roman"/>
          <w:sz w:val="24"/>
          <w:szCs w:val="24"/>
        </w:rPr>
        <w:t>6</w:t>
      </w:r>
      <w:r w:rsidR="005C5681">
        <w:rPr>
          <w:rFonts w:ascii="Times New Roman" w:hAnsi="Times New Roman" w:cs="Times New Roman"/>
          <w:sz w:val="24"/>
          <w:szCs w:val="24"/>
        </w:rPr>
        <w:t>)</w:t>
      </w:r>
      <w:r w:rsidRPr="000F4C4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</w:t>
      </w:r>
      <w:r w:rsidR="005C6BBA">
        <w:rPr>
          <w:rFonts w:ascii="Times New Roman" w:hAnsi="Times New Roman" w:cs="Times New Roman"/>
          <w:sz w:val="24"/>
          <w:szCs w:val="24"/>
        </w:rPr>
        <w:t>-</w:t>
      </w:r>
      <w:r w:rsidRPr="000F4C4C">
        <w:rPr>
          <w:rFonts w:ascii="Times New Roman" w:hAnsi="Times New Roman" w:cs="Times New Roman"/>
          <w:sz w:val="24"/>
          <w:szCs w:val="24"/>
        </w:rPr>
        <w:t>Watson (</w:t>
      </w:r>
      <w:r w:rsidR="00BC37E1">
        <w:rPr>
          <w:rFonts w:ascii="Times New Roman" w:hAnsi="Times New Roman" w:cs="Times New Roman"/>
          <w:sz w:val="24"/>
          <w:szCs w:val="24"/>
        </w:rPr>
        <w:t>DW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5C6BBA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</w:t>
      </w:r>
      <w:r w:rsidR="00732E3B">
        <w:rPr>
          <w:rFonts w:ascii="Times New Roman" w:hAnsi="Times New Roman" w:cs="Times New Roman"/>
          <w:sz w:val="24"/>
          <w:szCs w:val="24"/>
        </w:rPr>
        <w:t>-</w:t>
      </w:r>
      <w:r w:rsidRPr="000F4C4C">
        <w:rPr>
          <w:rFonts w:ascii="Times New Roman" w:hAnsi="Times New Roman" w:cs="Times New Roman"/>
          <w:sz w:val="24"/>
          <w:szCs w:val="24"/>
        </w:rPr>
        <w:t>Watson (</w:t>
      </w:r>
      <w:r w:rsidR="00BC37E1">
        <w:rPr>
          <w:rFonts w:ascii="Times New Roman" w:hAnsi="Times New Roman" w:cs="Times New Roman"/>
          <w:sz w:val="24"/>
          <w:szCs w:val="24"/>
        </w:rPr>
        <w:t>DW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W&gt;4-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U (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L&lt;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L (4-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U&lt;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W&lt;4-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2011).</w:t>
      </w:r>
    </w:p>
    <w:p w14:paraId="715A2C50" w14:textId="0E3BCC15" w:rsidR="00DB496E" w:rsidRPr="00DB496E" w:rsidRDefault="00DB496E" w:rsidP="00DB496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9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: (Santoso, </w:t>
      </w:r>
      <w:r w:rsidRPr="00DB496E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Pr="00DB496E">
        <w:rPr>
          <w:rFonts w:ascii="Times New Roman" w:hAnsi="Times New Roman" w:cs="Times New Roman"/>
          <w:sz w:val="24"/>
          <w:szCs w:val="24"/>
        </w:rPr>
        <w:t>: 219)</w:t>
      </w:r>
    </w:p>
    <w:p w14:paraId="2B62ECE7" w14:textId="77777777" w:rsidR="00DB496E" w:rsidRPr="00DB496E" w:rsidRDefault="00DB496E" w:rsidP="00DB496E">
      <w:pPr>
        <w:pStyle w:val="ListParagraph"/>
        <w:numPr>
          <w:ilvl w:val="0"/>
          <w:numId w:val="3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96E">
        <w:rPr>
          <w:rFonts w:ascii="Times New Roman" w:hAnsi="Times New Roman" w:cs="Times New Roman"/>
          <w:sz w:val="24"/>
          <w:szCs w:val="24"/>
        </w:rPr>
        <w:t xml:space="preserve">Angka DW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-2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berati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>.</w:t>
      </w:r>
    </w:p>
    <w:p w14:paraId="0D272CDE" w14:textId="77777777" w:rsidR="00DB496E" w:rsidRPr="00DB496E" w:rsidRDefault="00DB496E" w:rsidP="00DB496E">
      <w:pPr>
        <w:pStyle w:val="ListParagraph"/>
        <w:numPr>
          <w:ilvl w:val="0"/>
          <w:numId w:val="3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96E">
        <w:rPr>
          <w:rFonts w:ascii="Times New Roman" w:hAnsi="Times New Roman" w:cs="Times New Roman"/>
          <w:sz w:val="24"/>
          <w:szCs w:val="24"/>
        </w:rPr>
        <w:t xml:space="preserve">Angka DW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-2 dan +2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>.</w:t>
      </w:r>
    </w:p>
    <w:p w14:paraId="32F0F70C" w14:textId="77777777" w:rsidR="00DB496E" w:rsidRPr="00DB496E" w:rsidRDefault="00DB496E" w:rsidP="00DB496E">
      <w:pPr>
        <w:pStyle w:val="ListParagraph"/>
        <w:numPr>
          <w:ilvl w:val="0"/>
          <w:numId w:val="3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96E">
        <w:rPr>
          <w:rFonts w:ascii="Times New Roman" w:hAnsi="Times New Roman" w:cs="Times New Roman"/>
          <w:sz w:val="24"/>
          <w:szCs w:val="24"/>
        </w:rPr>
        <w:t xml:space="preserve">Angka DW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+2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berati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>.</w:t>
      </w:r>
    </w:p>
    <w:p w14:paraId="54D945F9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019C07D0" w:rsidR="00FA64F4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="009701BE">
        <w:rPr>
          <w:rFonts w:ascii="Times New Roman" w:hAnsi="Times New Roman" w:cs="Times New Roman"/>
          <w:sz w:val="24"/>
          <w:szCs w:val="24"/>
        </w:rPr>
        <w:t>.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9701BE" w:rsidRPr="000F4C4C">
        <w:rPr>
          <w:rFonts w:ascii="Times New Roman" w:hAnsi="Times New Roman" w:cs="Times New Roman"/>
          <w:sz w:val="24"/>
          <w:szCs w:val="24"/>
        </w:rPr>
        <w:t>M</w:t>
      </w:r>
      <w:r w:rsidRPr="000F4C4C">
        <w:rPr>
          <w:rFonts w:ascii="Times New Roman" w:hAnsi="Times New Roman" w:cs="Times New Roman"/>
          <w:sz w:val="24"/>
          <w:szCs w:val="24"/>
        </w:rPr>
        <w:t xml:space="preserve">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1B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</w:t>
      </w:r>
      <w:r w:rsidR="000212A9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r w:rsidR="00965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9E46265" w14:textId="291D137F" w:rsidR="00494F85" w:rsidRDefault="00494F85" w:rsidP="00396612">
      <w:pPr>
        <w:spacing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Menurut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Ghozali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sz w:val="24"/>
          <w:szCs w:val="24"/>
        </w:rPr>
        <w:t>2016</w:t>
      </w:r>
      <w:r w:rsidRPr="00DA3E29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dasar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keputusan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uji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42B38C16" w14:textId="77777777" w:rsidR="00494F85" w:rsidRPr="00494F85" w:rsidRDefault="00494F85" w:rsidP="00494F85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94F85">
        <w:rPr>
          <w:rFonts w:ascii="Times New Roman" w:eastAsia="Times New Roman" w:hAnsi="Times New Roman"/>
          <w:sz w:val="24"/>
          <w:szCs w:val="24"/>
        </w:rPr>
        <w:t xml:space="preserve">Jika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titik-titik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membentuk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teratur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bergelombang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melebar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menyempit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mengindikasikan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heteroskedastisitas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>.</w:t>
      </w:r>
    </w:p>
    <w:p w14:paraId="6291CB87" w14:textId="58D3716F" w:rsidR="00494F85" w:rsidRPr="00494F85" w:rsidRDefault="00494F85" w:rsidP="00494F85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94F85">
        <w:rPr>
          <w:rFonts w:ascii="Times New Roman" w:eastAsia="Times New Roman" w:hAnsi="Times New Roman"/>
          <w:sz w:val="24"/>
          <w:szCs w:val="24"/>
        </w:rPr>
        <w:t xml:space="preserve">Jika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jelas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titik-titik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menyebar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dan di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angka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0 pada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sumbu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Y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4F85">
        <w:rPr>
          <w:rFonts w:ascii="Times New Roman" w:eastAsia="Times New Roman" w:hAnsi="Times New Roman"/>
          <w:sz w:val="24"/>
          <w:szCs w:val="24"/>
        </w:rPr>
        <w:t>heteroskedastisitas</w:t>
      </w:r>
      <w:proofErr w:type="spellEnd"/>
      <w:r w:rsidRPr="00494F85">
        <w:rPr>
          <w:rFonts w:ascii="Times New Roman" w:eastAsia="Times New Roman" w:hAnsi="Times New Roman"/>
          <w:sz w:val="24"/>
          <w:szCs w:val="24"/>
        </w:rPr>
        <w:t>.</w:t>
      </w:r>
    </w:p>
    <w:p w14:paraId="719C9E27" w14:textId="77777777" w:rsidR="00FA64F4" w:rsidRPr="000F4C4C" w:rsidRDefault="00FA64F4" w:rsidP="00494F85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65DCF79D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</w:t>
      </w:r>
      <w:r w:rsidR="001477AF">
        <w:rPr>
          <w:rStyle w:val="FontStyle62"/>
          <w:rFonts w:eastAsiaTheme="minorEastAsia"/>
          <w:sz w:val="24"/>
          <w:szCs w:val="24"/>
        </w:rPr>
        <w:t>muka</w:t>
      </w:r>
      <w:r w:rsidRPr="000F4C4C">
        <w:rPr>
          <w:rStyle w:val="FontStyle62"/>
          <w:rFonts w:eastAsiaTheme="minorEastAsia"/>
          <w:sz w:val="24"/>
          <w:szCs w:val="24"/>
        </w:rPr>
        <w:t>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</w:t>
      </w:r>
      <w:r w:rsidR="00014CB2">
        <w:rPr>
          <w:rStyle w:val="FontStyle62"/>
          <w:rFonts w:eastAsiaTheme="minorEastAsia"/>
          <w:sz w:val="24"/>
          <w:szCs w:val="24"/>
        </w:rPr>
        <w:t>lakukan</w:t>
      </w:r>
      <w:proofErr w:type="spellEnd"/>
      <w:r w:rsidR="00014CB2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562CAB">
        <w:rPr>
          <w:rStyle w:val="FontStyle62"/>
          <w:rFonts w:eastAsiaTheme="minorEastAsia"/>
          <w:sz w:val="24"/>
          <w:szCs w:val="24"/>
        </w:rPr>
        <w:t>k</w:t>
      </w:r>
      <w:r w:rsidRPr="000F4C4C">
        <w:rPr>
          <w:rStyle w:val="FontStyle62"/>
          <w:rFonts w:eastAsiaTheme="minorEastAsia"/>
          <w:sz w:val="24"/>
          <w:szCs w:val="24"/>
        </w:rPr>
        <w:t>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="00562CAB">
        <w:rPr>
          <w:rStyle w:val="FontStyle62"/>
          <w:rFonts w:eastAsiaTheme="minorEastAsia"/>
          <w:sz w:val="24"/>
          <w:szCs w:val="24"/>
        </w:rPr>
        <w:t>k</w:t>
      </w:r>
      <w:r w:rsidRPr="000F4C4C">
        <w:rPr>
          <w:rStyle w:val="FontStyle62"/>
          <w:rFonts w:eastAsiaTheme="minorEastAsia"/>
          <w:sz w:val="24"/>
          <w:szCs w:val="24"/>
        </w:rPr>
        <w:t>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</w:t>
      </w:r>
      <w:r w:rsidR="007B69CA">
        <w:rPr>
          <w:rStyle w:val="FontStyle62"/>
          <w:rFonts w:eastAsiaTheme="minorEastAsia"/>
          <w:sz w:val="24"/>
          <w:szCs w:val="24"/>
        </w:rPr>
        <w:t>lakukan</w:t>
      </w:r>
      <w:proofErr w:type="spellEnd"/>
      <w:r w:rsidR="007B69CA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variabel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bebas</w:t>
      </w:r>
      <w:proofErr w:type="spellEnd"/>
      <w:r w:rsidRPr="00CB6BE6">
        <w:rPr>
          <w:rStyle w:val="FontStyle62"/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</w:t>
      </w:r>
      <w:r w:rsidR="00F56903">
        <w:rPr>
          <w:rStyle w:val="FontStyle62"/>
          <w:rFonts w:eastAsiaTheme="minorEastAsia"/>
          <w:sz w:val="24"/>
          <w:szCs w:val="24"/>
        </w:rPr>
        <w:t>p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variabel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terikat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a</w:t>
      </w:r>
      <w:r w:rsidRPr="000F4C4C">
        <w:rPr>
          <w:rStyle w:val="FontStyle62"/>
          <w:rFonts w:eastAsiaTheme="minorEastAsia"/>
          <w:sz w:val="24"/>
          <w:szCs w:val="24"/>
        </w:rPr>
        <w:t>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223E4D4A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5690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Linier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354FA0AE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6780B655" w14:textId="5BB6CC5C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="00E17E81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E1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1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1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i</w:t>
      </w:r>
      <w:r w:rsidR="008505E9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="008505E9">
        <w:rPr>
          <w:rFonts w:ascii="Times New Roman" w:hAnsi="Times New Roman" w:cs="Times New Roman"/>
          <w:sz w:val="24"/>
          <w:szCs w:val="24"/>
        </w:rPr>
        <w:t xml:space="preserve"> </w:t>
      </w:r>
      <w:r w:rsidR="008505E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505E9" w:rsidRPr="000F4C4C">
        <w:rPr>
          <w:rFonts w:ascii="Times New Roman" w:hAnsi="Times New Roman" w:cs="Times New Roman"/>
          <w:i/>
          <w:iCs/>
          <w:sz w:val="24"/>
          <w:szCs w:val="24"/>
        </w:rPr>
        <w:t>inancial distress</w:t>
      </w:r>
      <w:r w:rsidR="008505E9" w:rsidRPr="008505E9">
        <w:rPr>
          <w:rFonts w:ascii="Times New Roman" w:hAnsi="Times New Roman" w:cs="Times New Roman"/>
          <w:sz w:val="24"/>
          <w:szCs w:val="24"/>
        </w:rPr>
        <w:t xml:space="preserve"> </w:t>
      </w:r>
      <w:r w:rsidR="009E6CC1">
        <w:rPr>
          <w:rFonts w:ascii="Times New Roman" w:hAnsi="Times New Roman" w:cs="Times New Roman"/>
          <w:sz w:val="24"/>
          <w:szCs w:val="24"/>
        </w:rPr>
        <w:t>(</w:t>
      </w:r>
      <w:r w:rsidR="008505E9" w:rsidRPr="00546B80">
        <w:rPr>
          <w:rFonts w:ascii="Times New Roman" w:hAnsi="Times New Roman" w:cs="Times New Roman"/>
          <w:sz w:val="24"/>
          <w:szCs w:val="24"/>
        </w:rPr>
        <w:t>Altman Z-</w:t>
      </w:r>
      <w:r w:rsidR="008505E9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9E6CC1" w:rsidRPr="009E6CC1">
        <w:rPr>
          <w:rFonts w:ascii="Times New Roman" w:hAnsi="Times New Roman" w:cs="Times New Roman"/>
          <w:sz w:val="24"/>
          <w:szCs w:val="24"/>
        </w:rPr>
        <w:t>)</w:t>
      </w:r>
    </w:p>
    <w:p w14:paraId="4FDFC32E" w14:textId="09AD0B3B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="008505E9">
        <w:rPr>
          <w:rFonts w:ascii="Times New Roman" w:hAnsi="Times New Roman" w:cs="Times New Roman"/>
          <w:sz w:val="24"/>
          <w:szCs w:val="24"/>
        </w:rPr>
        <w:t>K</w:t>
      </w:r>
      <w:r w:rsidRPr="000F4C4C">
        <w:rPr>
          <w:rFonts w:ascii="Times New Roman" w:hAnsi="Times New Roman" w:cs="Times New Roman"/>
          <w:sz w:val="24"/>
          <w:szCs w:val="24"/>
        </w:rPr>
        <w:t>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1EA143B3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="008510BB">
        <w:rPr>
          <w:rFonts w:ascii="Times New Roman" w:hAnsi="Times New Roman" w:cs="Times New Roman"/>
          <w:sz w:val="24"/>
          <w:szCs w:val="24"/>
        </w:rPr>
        <w:t>K</w:t>
      </w:r>
      <w:r w:rsidRPr="000F4C4C">
        <w:rPr>
          <w:rFonts w:ascii="Times New Roman" w:hAnsi="Times New Roman" w:cs="Times New Roman"/>
          <w:sz w:val="24"/>
          <w:szCs w:val="24"/>
        </w:rPr>
        <w:t>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6F0708F0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8510BB">
        <w:rPr>
          <w:rFonts w:ascii="Times New Roman" w:hAnsi="Times New Roman" w:cs="Times New Roman"/>
          <w:sz w:val="24"/>
          <w:szCs w:val="24"/>
        </w:rPr>
        <w:t>V</w:t>
      </w:r>
      <w:r w:rsidRPr="000F4C4C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58FADF3B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463A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Linier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FBDA15A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02" w:rsidRPr="00A95F02">
        <w:rPr>
          <w:rFonts w:ascii="Times New Roman" w:hAnsi="Times New Roman" w:cs="Times New Roman"/>
          <w:iCs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A95F02">
        <w:rPr>
          <w:rFonts w:ascii="Times New Roman" w:hAnsi="Times New Roman" w:cs="Times New Roman"/>
          <w:sz w:val="24"/>
          <w:szCs w:val="24"/>
        </w:rPr>
        <w:t>variable</w:t>
      </w:r>
      <w:r w:rsidR="00A95F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95F02" w:rsidRPr="00A95F02">
        <w:rPr>
          <w:rFonts w:ascii="Times New Roman" w:hAnsi="Times New Roman" w:cs="Times New Roman"/>
          <w:iCs/>
          <w:sz w:val="24"/>
          <w:szCs w:val="24"/>
        </w:rPr>
        <w:t>bebas</w:t>
      </w:r>
      <w:proofErr w:type="spellEnd"/>
      <w:r w:rsidR="00A95F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7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149DF4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5AE026A8" w14:textId="36499DE5" w:rsidR="00FA64F4" w:rsidRPr="00FC7623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Y:</w:t>
      </w:r>
      <w:r w:rsidR="0054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variab</w:t>
      </w:r>
      <w:r w:rsidR="00E87295">
        <w:rPr>
          <w:rFonts w:ascii="Times New Roman" w:hAnsi="Times New Roman" w:cs="Times New Roman"/>
          <w:sz w:val="24"/>
          <w:szCs w:val="24"/>
        </w:rPr>
        <w:t>e</w:t>
      </w:r>
      <w:r w:rsidR="00FC762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FC7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FC7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C7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i</w:t>
      </w:r>
      <w:r w:rsidR="00546B80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="00546B80">
        <w:rPr>
          <w:rFonts w:ascii="Times New Roman" w:hAnsi="Times New Roman" w:cs="Times New Roman"/>
          <w:sz w:val="24"/>
          <w:szCs w:val="24"/>
        </w:rPr>
        <w:t xml:space="preserve"> </w:t>
      </w:r>
      <w:r w:rsidR="00546B8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inancial distress</w:t>
      </w:r>
      <w:r w:rsidR="00546B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7623" w:rsidRPr="00FC7623">
        <w:rPr>
          <w:rFonts w:ascii="Times New Roman" w:hAnsi="Times New Roman" w:cs="Times New Roman"/>
          <w:sz w:val="24"/>
          <w:szCs w:val="24"/>
        </w:rPr>
        <w:t>(</w:t>
      </w:r>
      <w:r w:rsidR="00546B80" w:rsidRPr="00546B80">
        <w:rPr>
          <w:rFonts w:ascii="Times New Roman" w:hAnsi="Times New Roman" w:cs="Times New Roman"/>
          <w:sz w:val="24"/>
          <w:szCs w:val="24"/>
        </w:rPr>
        <w:t>Altman Z-</w:t>
      </w:r>
      <w:r w:rsidR="00546B80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FC7623">
        <w:rPr>
          <w:rFonts w:ascii="Times New Roman" w:hAnsi="Times New Roman" w:cs="Times New Roman"/>
          <w:sz w:val="24"/>
          <w:szCs w:val="24"/>
        </w:rPr>
        <w:t>)</w:t>
      </w:r>
    </w:p>
    <w:p w14:paraId="6437EB1F" w14:textId="45832680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65B0AA53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4E548DBB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r w:rsidR="00E87295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872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r w:rsidR="00B0439D" w:rsidRPr="00B0439D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B0439D">
        <w:rPr>
          <w:rFonts w:ascii="Times New Roman" w:hAnsi="Times New Roman" w:cs="Times New Roman"/>
          <w:sz w:val="24"/>
          <w:szCs w:val="24"/>
        </w:rPr>
        <w:t xml:space="preserve"> (ROE) </w:t>
      </w:r>
    </w:p>
    <w:p w14:paraId="24E8A82E" w14:textId="207D4F7D" w:rsidR="00FA64F4" w:rsidRPr="00B0439D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r w:rsidR="00E87295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872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B0439D">
        <w:rPr>
          <w:rFonts w:ascii="Times New Roman" w:hAnsi="Times New Roman" w:cs="Times New Roman"/>
          <w:sz w:val="24"/>
          <w:szCs w:val="24"/>
        </w:rPr>
        <w:t xml:space="preserve"> (QR)</w:t>
      </w:r>
    </w:p>
    <w:p w14:paraId="0C88AE5A" w14:textId="511598B0" w:rsidR="00FA64F4" w:rsidRPr="00B0439D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r w:rsidR="00E87295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872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>debt</w:t>
      </w:r>
      <w:r w:rsidR="00B0439D" w:rsidRPr="00B043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0439D" w:rsidRPr="00B0439D">
        <w:rPr>
          <w:rFonts w:ascii="Times New Roman" w:hAnsi="Times New Roman" w:cs="Times New Roman"/>
          <w:i/>
          <w:iCs/>
          <w:sz w:val="24"/>
          <w:szCs w:val="24"/>
        </w:rPr>
        <w:t>o equity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B0439D">
        <w:rPr>
          <w:rFonts w:ascii="Times New Roman" w:hAnsi="Times New Roman" w:cs="Times New Roman"/>
          <w:sz w:val="24"/>
          <w:szCs w:val="24"/>
        </w:rPr>
        <w:t xml:space="preserve"> (DER)</w:t>
      </w:r>
    </w:p>
    <w:p w14:paraId="6929EFE5" w14:textId="44BAE92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6F8DB21E" w:rsidR="00FA64F4" w:rsidRPr="000F4C4C" w:rsidRDefault="001D6268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3EE7FB49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4A687A8C" w14:textId="5D4BC59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0F76D811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5A5524EF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33B9FF5B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07ADDB12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4396B51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55B6097C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637CCBB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0A075C21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</w:t>
      </w:r>
      <w:r w:rsidR="00B62484">
        <w:rPr>
          <w:rFonts w:ascii="Times New Roman" w:hAnsi="Times New Roman" w:cs="Times New Roman"/>
          <w:sz w:val="24"/>
          <w:szCs w:val="24"/>
        </w:rPr>
        <w:t>i</w:t>
      </w:r>
      <w:r w:rsidR="00744CDC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033551F5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r w:rsid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sz w:val="24"/>
          <w:szCs w:val="24"/>
        </w:rPr>
        <w:t xml:space="preserve">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AA6F76D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06F72" w:rsidRP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2A997226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r w:rsid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8C72807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F72" w:rsidRP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389384E9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F72" w:rsidRP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000000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B25730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  <w:sz w:val="24"/>
          <w:szCs w:val="24"/>
        </w:rPr>
      </w:pPr>
      <w:proofErr w:type="spellStart"/>
      <w:r w:rsidRPr="00B25730">
        <w:rPr>
          <w:rStyle w:val="FontStyle48"/>
          <w:rFonts w:eastAsiaTheme="minorEastAsia"/>
          <w:sz w:val="24"/>
          <w:szCs w:val="24"/>
        </w:rPr>
        <w:t>Tabel</w:t>
      </w:r>
      <w:proofErr w:type="spellEnd"/>
      <w:r w:rsidRPr="00B25730">
        <w:rPr>
          <w:rStyle w:val="FontStyle48"/>
          <w:rFonts w:eastAsiaTheme="minorEastAsia"/>
          <w:sz w:val="24"/>
          <w:szCs w:val="24"/>
        </w:rPr>
        <w:t xml:space="preserve"> III.2 </w:t>
      </w:r>
      <w:proofErr w:type="spellStart"/>
      <w:r w:rsidRPr="00B25730">
        <w:rPr>
          <w:rStyle w:val="FontStyle48"/>
          <w:rFonts w:eastAsiaTheme="minorEastAsia"/>
          <w:sz w:val="24"/>
          <w:szCs w:val="24"/>
        </w:rPr>
        <w:t>Interprestasi</w:t>
      </w:r>
      <w:proofErr w:type="spellEnd"/>
      <w:r w:rsidRPr="00B25730">
        <w:rPr>
          <w:rStyle w:val="FontStyle48"/>
          <w:rFonts w:eastAsiaTheme="minorEastAsia"/>
          <w:sz w:val="24"/>
          <w:szCs w:val="24"/>
        </w:rPr>
        <w:t xml:space="preserve"> </w:t>
      </w:r>
      <w:proofErr w:type="spellStart"/>
      <w:r w:rsidRPr="00B25730">
        <w:rPr>
          <w:rStyle w:val="FontStyle48"/>
          <w:rFonts w:eastAsiaTheme="minorEastAsia"/>
          <w:sz w:val="24"/>
          <w:szCs w:val="24"/>
        </w:rPr>
        <w:t>Korelasi</w:t>
      </w:r>
      <w:proofErr w:type="spellEnd"/>
      <w:r w:rsidRPr="00B25730">
        <w:rPr>
          <w:rStyle w:val="FontStyle48"/>
          <w:rFonts w:eastAsiaTheme="minorEastAsia"/>
          <w:sz w:val="24"/>
          <w:szCs w:val="24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B25730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B25730" w:rsidRDefault="00FA64F4" w:rsidP="00B25730">
            <w:pPr>
              <w:pStyle w:val="Style23"/>
              <w:widowControl/>
              <w:jc w:val="center"/>
              <w:rPr>
                <w:rStyle w:val="FontStyle48"/>
                <w:rFonts w:eastAsiaTheme="minorEastAsia"/>
                <w:sz w:val="22"/>
                <w:szCs w:val="22"/>
              </w:rPr>
            </w:pPr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 xml:space="preserve">Interval </w:t>
            </w:r>
            <w:proofErr w:type="spellStart"/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B25730" w:rsidRDefault="00FA64F4" w:rsidP="00B25730">
            <w:pPr>
              <w:pStyle w:val="Style23"/>
              <w:widowControl/>
              <w:ind w:left="158"/>
              <w:jc w:val="center"/>
              <w:rPr>
                <w:rStyle w:val="FontStyle48"/>
                <w:rFonts w:eastAsiaTheme="minorEastAsia"/>
                <w:sz w:val="22"/>
                <w:szCs w:val="22"/>
              </w:rPr>
            </w:pPr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 xml:space="preserve">Tingkat </w:t>
            </w:r>
            <w:proofErr w:type="spellStart"/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>Hubungan</w:t>
            </w:r>
            <w:proofErr w:type="spellEnd"/>
          </w:p>
        </w:tc>
      </w:tr>
      <w:tr w:rsidR="00FA64F4" w:rsidRPr="00B25730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 xml:space="preserve">Sangat </w:t>
            </w:r>
            <w:proofErr w:type="spellStart"/>
            <w:r w:rsidRPr="00B25730">
              <w:rPr>
                <w:rStyle w:val="FontStyle62"/>
                <w:sz w:val="22"/>
                <w:szCs w:val="22"/>
              </w:rPr>
              <w:t>Kuat</w:t>
            </w:r>
            <w:proofErr w:type="spellEnd"/>
          </w:p>
        </w:tc>
      </w:tr>
      <w:tr w:rsidR="00FA64F4" w:rsidRPr="00B25730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proofErr w:type="spellStart"/>
            <w:r w:rsidRPr="00B25730">
              <w:rPr>
                <w:rStyle w:val="FontStyle62"/>
                <w:sz w:val="22"/>
                <w:szCs w:val="22"/>
              </w:rPr>
              <w:t>Kuat</w:t>
            </w:r>
            <w:proofErr w:type="spellEnd"/>
          </w:p>
        </w:tc>
      </w:tr>
      <w:tr w:rsidR="00FA64F4" w:rsidRPr="00B25730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proofErr w:type="spellStart"/>
            <w:r w:rsidRPr="00B25730">
              <w:rPr>
                <w:rStyle w:val="FontStyle62"/>
                <w:sz w:val="22"/>
                <w:szCs w:val="22"/>
              </w:rPr>
              <w:t>Cukup</w:t>
            </w:r>
            <w:proofErr w:type="spellEnd"/>
            <w:r w:rsidRPr="00B25730">
              <w:rPr>
                <w:rStyle w:val="FontStyle62"/>
                <w:sz w:val="22"/>
                <w:szCs w:val="22"/>
              </w:rPr>
              <w:t xml:space="preserve"> </w:t>
            </w:r>
            <w:proofErr w:type="spellStart"/>
            <w:r w:rsidRPr="00B25730">
              <w:rPr>
                <w:rStyle w:val="FontStyle62"/>
                <w:sz w:val="22"/>
                <w:szCs w:val="22"/>
              </w:rPr>
              <w:t>Kuat</w:t>
            </w:r>
            <w:proofErr w:type="spellEnd"/>
          </w:p>
        </w:tc>
      </w:tr>
      <w:tr w:rsidR="00FA64F4" w:rsidRPr="00B25730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proofErr w:type="spellStart"/>
            <w:r w:rsidRPr="00B25730">
              <w:rPr>
                <w:rStyle w:val="FontStyle62"/>
                <w:sz w:val="22"/>
                <w:szCs w:val="22"/>
              </w:rPr>
              <w:t>Lemah</w:t>
            </w:r>
            <w:proofErr w:type="spellEnd"/>
          </w:p>
        </w:tc>
      </w:tr>
      <w:tr w:rsidR="00FA64F4" w:rsidRPr="00B25730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 xml:space="preserve">Sangat </w:t>
            </w:r>
            <w:proofErr w:type="spellStart"/>
            <w:r w:rsidRPr="00B25730">
              <w:rPr>
                <w:rStyle w:val="FontStyle62"/>
                <w:sz w:val="22"/>
                <w:szCs w:val="2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9802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254CC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  <w:sz w:val="24"/>
          <w:szCs w:val="24"/>
        </w:rPr>
      </w:pPr>
      <w:r w:rsidRPr="00254CCC">
        <w:rPr>
          <w:rStyle w:val="FontStyle62"/>
          <w:rFonts w:eastAsiaTheme="minorEastAsia"/>
          <w:sz w:val="24"/>
          <w:szCs w:val="24"/>
        </w:rPr>
        <w:t xml:space="preserve">Ho: r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=</w:t>
      </w:r>
      <w:r w:rsidRPr="00254CCC">
        <w:rPr>
          <w:rStyle w:val="FontStyle62"/>
          <w:rFonts w:eastAsiaTheme="minorEastAsia"/>
          <w:sz w:val="24"/>
          <w:szCs w:val="24"/>
        </w:rPr>
        <w:t xml:space="preserve">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000000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0E452BFE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lastRenderedPageBreak/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="0098028D">
        <w:rPr>
          <w:rStyle w:val="FontStyle62"/>
          <w:sz w:val="24"/>
          <w:szCs w:val="24"/>
        </w:rPr>
        <w:t>tesebut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="0098028D">
        <w:rPr>
          <w:rStyle w:val="FontStyle62"/>
          <w:sz w:val="24"/>
          <w:szCs w:val="24"/>
        </w:rPr>
        <w:t>maka</w:t>
      </w:r>
      <w:proofErr w:type="spellEnd"/>
      <w:r w:rsidR="0098028D">
        <w:rPr>
          <w:rStyle w:val="FontStyle62"/>
          <w:sz w:val="24"/>
          <w:szCs w:val="24"/>
        </w:rPr>
        <w:t xml:space="preserve"> </w:t>
      </w:r>
      <w:proofErr w:type="spellStart"/>
      <w:r w:rsidR="0098028D">
        <w:rPr>
          <w:rStyle w:val="FontStyle62"/>
          <w:sz w:val="24"/>
          <w:szCs w:val="24"/>
        </w:rPr>
        <w:t>selanjutnya</w:t>
      </w:r>
      <w:proofErr w:type="spellEnd"/>
      <w:r w:rsidR="0098028D">
        <w:rPr>
          <w:rStyle w:val="FontStyle62"/>
          <w:sz w:val="24"/>
          <w:szCs w:val="24"/>
        </w:rPr>
        <w:t xml:space="preserve"> </w:t>
      </w:r>
      <w:proofErr w:type="spellStart"/>
      <w:r w:rsidR="0098028D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53AC146F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Ho: R = 0</w:t>
      </w:r>
    </w:p>
    <w:p w14:paraId="793D694E" w14:textId="0B98D23A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Ha: R ≠ 0</w:t>
      </w:r>
    </w:p>
    <w:p w14:paraId="43FDCA73" w14:textId="142E394F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 xml:space="preserve">, </w:t>
      </w:r>
      <w:r w:rsidR="00867CE1">
        <w:rPr>
          <w:rStyle w:val="FontStyle62"/>
          <w:sz w:val="24"/>
          <w:szCs w:val="24"/>
        </w:rPr>
        <w:t xml:space="preserve">dan </w:t>
      </w:r>
      <w:r w:rsidRPr="000F4C4C">
        <w:rPr>
          <w:rStyle w:val="FontStyle62"/>
          <w:sz w:val="24"/>
          <w:szCs w:val="24"/>
        </w:rPr>
        <w:t>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000000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3E4714F1" w:rsidR="00FA64F4" w:rsidRPr="00466531" w:rsidRDefault="008635EA" w:rsidP="003D7124">
      <w:pPr>
        <w:spacing w:after="0" w:line="480" w:lineRule="auto"/>
        <w:ind w:firstLine="709"/>
        <w:jc w:val="both"/>
        <w:rPr>
          <w:rStyle w:val="FontStyle62"/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="00275C2B">
        <w:rPr>
          <w:rStyle w:val="FontStyle62"/>
          <w:sz w:val="24"/>
          <w:szCs w:val="24"/>
        </w:rPr>
        <w:t>tersebut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</w:t>
      </w:r>
      <w:r w:rsidR="00275C2B">
        <w:rPr>
          <w:rStyle w:val="FontStyle62"/>
          <w:sz w:val="24"/>
          <w:szCs w:val="24"/>
        </w:rPr>
        <w:t xml:space="preserve">, </w:t>
      </w:r>
      <w:proofErr w:type="spellStart"/>
      <w:r w:rsidR="00275C2B">
        <w:rPr>
          <w:rStyle w:val="FontStyle62"/>
          <w:sz w:val="24"/>
          <w:szCs w:val="24"/>
        </w:rPr>
        <w:t>maka</w:t>
      </w:r>
      <w:proofErr w:type="spellEnd"/>
      <w:r w:rsidR="00275C2B">
        <w:rPr>
          <w:rStyle w:val="FontStyle62"/>
          <w:sz w:val="24"/>
          <w:szCs w:val="24"/>
        </w:rPr>
        <w:t xml:space="preserve"> </w:t>
      </w:r>
      <w:proofErr w:type="spellStart"/>
      <w:r w:rsidR="00275C2B">
        <w:rPr>
          <w:rStyle w:val="FontStyle62"/>
          <w:sz w:val="24"/>
          <w:szCs w:val="24"/>
        </w:rPr>
        <w:t>selanjutnya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</w:t>
      </w:r>
      <w:r w:rsidRPr="00466531">
        <w:rPr>
          <w:rStyle w:val="FontStyle62"/>
          <w:sz w:val="24"/>
          <w:szCs w:val="24"/>
        </w:rPr>
        <w:t>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dengan</w:t>
      </w:r>
      <w:proofErr w:type="spellEnd"/>
      <w:r w:rsidRPr="00466531">
        <w:rPr>
          <w:rStyle w:val="FontStyle62"/>
          <w:sz w:val="24"/>
          <w:szCs w:val="24"/>
        </w:rPr>
        <w:t xml:space="preserve"> F </w:t>
      </w:r>
      <w:proofErr w:type="spellStart"/>
      <w:r w:rsidRPr="00466531">
        <w:rPr>
          <w:rStyle w:val="FontStyle62"/>
          <w:sz w:val="24"/>
          <w:szCs w:val="24"/>
        </w:rPr>
        <w:t>signifikan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dengan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menggunakan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batasan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r w:rsidRPr="00466531">
        <w:rPr>
          <w:rStyle w:val="FontStyle62"/>
          <w:i/>
          <w:iCs/>
          <w:sz w:val="24"/>
          <w:szCs w:val="24"/>
        </w:rPr>
        <w:t>Two Tail Test</w:t>
      </w:r>
      <w:r w:rsidRPr="00466531">
        <w:rPr>
          <w:rStyle w:val="FontStyle62"/>
          <w:sz w:val="24"/>
          <w:szCs w:val="24"/>
          <w:lang w:val="en-US"/>
        </w:rPr>
        <w:t>.</w:t>
      </w:r>
    </w:p>
    <w:p w14:paraId="62C5854C" w14:textId="27AAA792" w:rsidR="00466531" w:rsidRPr="00466531" w:rsidRDefault="00466531" w:rsidP="00182010">
      <w:pPr>
        <w:spacing w:after="0" w:line="480" w:lineRule="auto"/>
        <w:jc w:val="both"/>
        <w:rPr>
          <w:rStyle w:val="FontStyle62"/>
          <w:sz w:val="24"/>
          <w:szCs w:val="24"/>
          <w:lang w:val="en-US"/>
        </w:rPr>
      </w:pPr>
    </w:p>
    <w:sectPr w:rsidR="00466531" w:rsidRPr="00466531" w:rsidSect="004E6B8A">
      <w:footerReference w:type="default" r:id="rId14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F00B" w14:textId="77777777" w:rsidR="006C4165" w:rsidRDefault="006C4165" w:rsidP="003B4583">
      <w:pPr>
        <w:spacing w:after="0" w:line="240" w:lineRule="auto"/>
      </w:pPr>
      <w:r>
        <w:separator/>
      </w:r>
    </w:p>
  </w:endnote>
  <w:endnote w:type="continuationSeparator" w:id="0">
    <w:p w14:paraId="3494D4AD" w14:textId="77777777" w:rsidR="006C4165" w:rsidRDefault="006C4165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E894" w14:textId="77777777" w:rsidR="006C4165" w:rsidRDefault="006C4165" w:rsidP="003B4583">
      <w:pPr>
        <w:spacing w:after="0" w:line="240" w:lineRule="auto"/>
      </w:pPr>
      <w:r>
        <w:separator/>
      </w:r>
    </w:p>
  </w:footnote>
  <w:footnote w:type="continuationSeparator" w:id="0">
    <w:p w14:paraId="5FA9DBD6" w14:textId="77777777" w:rsidR="006C4165" w:rsidRDefault="006C4165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96780"/>
    <w:multiLevelType w:val="hybridMultilevel"/>
    <w:tmpl w:val="ED86B9F4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8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9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7D0AB4"/>
    <w:multiLevelType w:val="hybridMultilevel"/>
    <w:tmpl w:val="BF743EF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8917FF5"/>
    <w:multiLevelType w:val="hybridMultilevel"/>
    <w:tmpl w:val="4A9E15A8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3" w15:restartNumberingAfterBreak="0">
    <w:nsid w:val="3BA207E6"/>
    <w:multiLevelType w:val="hybridMultilevel"/>
    <w:tmpl w:val="4AEE20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E4DE1"/>
    <w:multiLevelType w:val="hybridMultilevel"/>
    <w:tmpl w:val="B2028420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6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D12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F54F3"/>
    <w:multiLevelType w:val="hybridMultilevel"/>
    <w:tmpl w:val="8E3E5F3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3C910DD"/>
    <w:multiLevelType w:val="hybridMultilevel"/>
    <w:tmpl w:val="3BA44C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77331E"/>
    <w:multiLevelType w:val="multilevel"/>
    <w:tmpl w:val="FF54C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F4487"/>
    <w:multiLevelType w:val="hybridMultilevel"/>
    <w:tmpl w:val="56E27F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88594D"/>
    <w:multiLevelType w:val="hybridMultilevel"/>
    <w:tmpl w:val="555864A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10759008">
    <w:abstractNumId w:val="4"/>
  </w:num>
  <w:num w:numId="2" w16cid:durableId="1413310623">
    <w:abstractNumId w:val="23"/>
  </w:num>
  <w:num w:numId="3" w16cid:durableId="179859475">
    <w:abstractNumId w:val="9"/>
  </w:num>
  <w:num w:numId="4" w16cid:durableId="1809282019">
    <w:abstractNumId w:val="25"/>
  </w:num>
  <w:num w:numId="5" w16cid:durableId="2035378252">
    <w:abstractNumId w:val="6"/>
  </w:num>
  <w:num w:numId="6" w16cid:durableId="1270771670">
    <w:abstractNumId w:val="3"/>
  </w:num>
  <w:num w:numId="7" w16cid:durableId="1576745192">
    <w:abstractNumId w:val="1"/>
  </w:num>
  <w:num w:numId="8" w16cid:durableId="28187110">
    <w:abstractNumId w:val="28"/>
  </w:num>
  <w:num w:numId="9" w16cid:durableId="356079676">
    <w:abstractNumId w:val="0"/>
  </w:num>
  <w:num w:numId="10" w16cid:durableId="140267758">
    <w:abstractNumId w:val="12"/>
  </w:num>
  <w:num w:numId="11" w16cid:durableId="319894723">
    <w:abstractNumId w:val="16"/>
  </w:num>
  <w:num w:numId="12" w16cid:durableId="573860484">
    <w:abstractNumId w:val="24"/>
  </w:num>
  <w:num w:numId="13" w16cid:durableId="1249971835">
    <w:abstractNumId w:val="5"/>
  </w:num>
  <w:num w:numId="14" w16cid:durableId="901528489">
    <w:abstractNumId w:val="21"/>
  </w:num>
  <w:num w:numId="15" w16cid:durableId="2090615777">
    <w:abstractNumId w:val="20"/>
  </w:num>
  <w:num w:numId="16" w16cid:durableId="1492519727">
    <w:abstractNumId w:val="15"/>
  </w:num>
  <w:num w:numId="17" w16cid:durableId="2078555779">
    <w:abstractNumId w:val="8"/>
  </w:num>
  <w:num w:numId="18" w16cid:durableId="1131362369">
    <w:abstractNumId w:val="7"/>
  </w:num>
  <w:num w:numId="19" w16cid:durableId="1983342396">
    <w:abstractNumId w:val="26"/>
  </w:num>
  <w:num w:numId="20" w16cid:durableId="223878721">
    <w:abstractNumId w:val="17"/>
  </w:num>
  <w:num w:numId="21" w16cid:durableId="1220826383">
    <w:abstractNumId w:val="22"/>
  </w:num>
  <w:num w:numId="22" w16cid:durableId="1350990193">
    <w:abstractNumId w:val="11"/>
  </w:num>
  <w:num w:numId="23" w16cid:durableId="1101296112">
    <w:abstractNumId w:val="18"/>
  </w:num>
  <w:num w:numId="24" w16cid:durableId="635060968">
    <w:abstractNumId w:val="2"/>
  </w:num>
  <w:num w:numId="25" w16cid:durableId="571620393">
    <w:abstractNumId w:val="14"/>
  </w:num>
  <w:num w:numId="26" w16cid:durableId="711921275">
    <w:abstractNumId w:val="13"/>
  </w:num>
  <w:num w:numId="27" w16cid:durableId="2097171963">
    <w:abstractNumId w:val="19"/>
  </w:num>
  <w:num w:numId="28" w16cid:durableId="341319022">
    <w:abstractNumId w:val="10"/>
  </w:num>
  <w:num w:numId="29" w16cid:durableId="86924311">
    <w:abstractNumId w:val="29"/>
  </w:num>
  <w:num w:numId="30" w16cid:durableId="156651621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166A"/>
    <w:rsid w:val="00001B9E"/>
    <w:rsid w:val="00002009"/>
    <w:rsid w:val="000022BE"/>
    <w:rsid w:val="00006848"/>
    <w:rsid w:val="000076A2"/>
    <w:rsid w:val="00007C58"/>
    <w:rsid w:val="00010226"/>
    <w:rsid w:val="00011273"/>
    <w:rsid w:val="000134DF"/>
    <w:rsid w:val="00013C35"/>
    <w:rsid w:val="00014CB2"/>
    <w:rsid w:val="00015E7B"/>
    <w:rsid w:val="00016684"/>
    <w:rsid w:val="00017370"/>
    <w:rsid w:val="00017A05"/>
    <w:rsid w:val="000204C4"/>
    <w:rsid w:val="00020618"/>
    <w:rsid w:val="000212A9"/>
    <w:rsid w:val="00021B48"/>
    <w:rsid w:val="000222B7"/>
    <w:rsid w:val="00022E39"/>
    <w:rsid w:val="00023328"/>
    <w:rsid w:val="00024EF5"/>
    <w:rsid w:val="000263A5"/>
    <w:rsid w:val="00031AFC"/>
    <w:rsid w:val="00032378"/>
    <w:rsid w:val="000324DB"/>
    <w:rsid w:val="00032DAC"/>
    <w:rsid w:val="0003454B"/>
    <w:rsid w:val="000351AA"/>
    <w:rsid w:val="00040B1D"/>
    <w:rsid w:val="0004210F"/>
    <w:rsid w:val="00043E2A"/>
    <w:rsid w:val="00044F4E"/>
    <w:rsid w:val="00045588"/>
    <w:rsid w:val="00046E14"/>
    <w:rsid w:val="00050576"/>
    <w:rsid w:val="00053E94"/>
    <w:rsid w:val="0005421D"/>
    <w:rsid w:val="00060E0A"/>
    <w:rsid w:val="00064690"/>
    <w:rsid w:val="00065B02"/>
    <w:rsid w:val="00066AFF"/>
    <w:rsid w:val="000716D8"/>
    <w:rsid w:val="00071E02"/>
    <w:rsid w:val="00071E0B"/>
    <w:rsid w:val="00071ED9"/>
    <w:rsid w:val="00072D6C"/>
    <w:rsid w:val="00073127"/>
    <w:rsid w:val="000732F2"/>
    <w:rsid w:val="0007452B"/>
    <w:rsid w:val="00074A03"/>
    <w:rsid w:val="00076093"/>
    <w:rsid w:val="00076654"/>
    <w:rsid w:val="00076786"/>
    <w:rsid w:val="000815CE"/>
    <w:rsid w:val="00082F28"/>
    <w:rsid w:val="00083082"/>
    <w:rsid w:val="00083A1D"/>
    <w:rsid w:val="000855FF"/>
    <w:rsid w:val="000909CE"/>
    <w:rsid w:val="000923F0"/>
    <w:rsid w:val="000944A8"/>
    <w:rsid w:val="00095C43"/>
    <w:rsid w:val="0009685F"/>
    <w:rsid w:val="000A2373"/>
    <w:rsid w:val="000A3150"/>
    <w:rsid w:val="000A4A38"/>
    <w:rsid w:val="000A5A65"/>
    <w:rsid w:val="000A6802"/>
    <w:rsid w:val="000B01A3"/>
    <w:rsid w:val="000B0274"/>
    <w:rsid w:val="000B14C1"/>
    <w:rsid w:val="000B1749"/>
    <w:rsid w:val="000B5645"/>
    <w:rsid w:val="000B7F73"/>
    <w:rsid w:val="000C38E6"/>
    <w:rsid w:val="000D3295"/>
    <w:rsid w:val="000D41EF"/>
    <w:rsid w:val="000D7AA7"/>
    <w:rsid w:val="000D7AF1"/>
    <w:rsid w:val="000E095D"/>
    <w:rsid w:val="000E166A"/>
    <w:rsid w:val="000E166B"/>
    <w:rsid w:val="000E1967"/>
    <w:rsid w:val="000E28DC"/>
    <w:rsid w:val="000E3696"/>
    <w:rsid w:val="000E3C14"/>
    <w:rsid w:val="000E57E9"/>
    <w:rsid w:val="000F290F"/>
    <w:rsid w:val="000F2CEF"/>
    <w:rsid w:val="000F3E11"/>
    <w:rsid w:val="000F4C2F"/>
    <w:rsid w:val="000F4E16"/>
    <w:rsid w:val="000F73EF"/>
    <w:rsid w:val="000F7407"/>
    <w:rsid w:val="000F7B45"/>
    <w:rsid w:val="00101960"/>
    <w:rsid w:val="0010236F"/>
    <w:rsid w:val="00105545"/>
    <w:rsid w:val="00105E52"/>
    <w:rsid w:val="00110915"/>
    <w:rsid w:val="00112D45"/>
    <w:rsid w:val="00116588"/>
    <w:rsid w:val="001236EB"/>
    <w:rsid w:val="001238F0"/>
    <w:rsid w:val="00124973"/>
    <w:rsid w:val="00125177"/>
    <w:rsid w:val="00126738"/>
    <w:rsid w:val="001305DA"/>
    <w:rsid w:val="0013094E"/>
    <w:rsid w:val="001309C4"/>
    <w:rsid w:val="00130B97"/>
    <w:rsid w:val="001378DA"/>
    <w:rsid w:val="00137BA2"/>
    <w:rsid w:val="00140033"/>
    <w:rsid w:val="00140533"/>
    <w:rsid w:val="00143365"/>
    <w:rsid w:val="00143567"/>
    <w:rsid w:val="001447E6"/>
    <w:rsid w:val="001477AF"/>
    <w:rsid w:val="00150DCF"/>
    <w:rsid w:val="001631FA"/>
    <w:rsid w:val="0016467C"/>
    <w:rsid w:val="0016490F"/>
    <w:rsid w:val="00165A65"/>
    <w:rsid w:val="001667B9"/>
    <w:rsid w:val="00167A63"/>
    <w:rsid w:val="00172741"/>
    <w:rsid w:val="001748F5"/>
    <w:rsid w:val="00177087"/>
    <w:rsid w:val="00177652"/>
    <w:rsid w:val="0017769F"/>
    <w:rsid w:val="001779F4"/>
    <w:rsid w:val="00180F3C"/>
    <w:rsid w:val="00182010"/>
    <w:rsid w:val="0018278E"/>
    <w:rsid w:val="0018293E"/>
    <w:rsid w:val="001843DF"/>
    <w:rsid w:val="00187CF5"/>
    <w:rsid w:val="00191627"/>
    <w:rsid w:val="00192B8E"/>
    <w:rsid w:val="001979A1"/>
    <w:rsid w:val="001A24A1"/>
    <w:rsid w:val="001B14B3"/>
    <w:rsid w:val="001B15BE"/>
    <w:rsid w:val="001B1904"/>
    <w:rsid w:val="001B21C0"/>
    <w:rsid w:val="001B49A1"/>
    <w:rsid w:val="001B5CC8"/>
    <w:rsid w:val="001B5DA4"/>
    <w:rsid w:val="001B64BA"/>
    <w:rsid w:val="001B6B51"/>
    <w:rsid w:val="001C2492"/>
    <w:rsid w:val="001C2E00"/>
    <w:rsid w:val="001C5F67"/>
    <w:rsid w:val="001C74CE"/>
    <w:rsid w:val="001D0387"/>
    <w:rsid w:val="001D06F2"/>
    <w:rsid w:val="001D39F3"/>
    <w:rsid w:val="001D6268"/>
    <w:rsid w:val="001D68AE"/>
    <w:rsid w:val="001D7A3B"/>
    <w:rsid w:val="001E0EA6"/>
    <w:rsid w:val="001E1945"/>
    <w:rsid w:val="001E2922"/>
    <w:rsid w:val="001E52D6"/>
    <w:rsid w:val="001F1EA8"/>
    <w:rsid w:val="001F205E"/>
    <w:rsid w:val="001F4430"/>
    <w:rsid w:val="00200693"/>
    <w:rsid w:val="00200E4F"/>
    <w:rsid w:val="0020186C"/>
    <w:rsid w:val="00203F37"/>
    <w:rsid w:val="002041E2"/>
    <w:rsid w:val="002067CD"/>
    <w:rsid w:val="0021321A"/>
    <w:rsid w:val="00215603"/>
    <w:rsid w:val="00216328"/>
    <w:rsid w:val="002177F6"/>
    <w:rsid w:val="00220430"/>
    <w:rsid w:val="0022113E"/>
    <w:rsid w:val="002257DF"/>
    <w:rsid w:val="002334A8"/>
    <w:rsid w:val="002349C8"/>
    <w:rsid w:val="00235A8B"/>
    <w:rsid w:val="00235DDC"/>
    <w:rsid w:val="00236650"/>
    <w:rsid w:val="00236C68"/>
    <w:rsid w:val="002409D1"/>
    <w:rsid w:val="002418CE"/>
    <w:rsid w:val="00241FFE"/>
    <w:rsid w:val="00243DD4"/>
    <w:rsid w:val="00244B2E"/>
    <w:rsid w:val="0025047D"/>
    <w:rsid w:val="00250D71"/>
    <w:rsid w:val="002519C2"/>
    <w:rsid w:val="00253115"/>
    <w:rsid w:val="00254CCC"/>
    <w:rsid w:val="002555EA"/>
    <w:rsid w:val="002555F6"/>
    <w:rsid w:val="00256849"/>
    <w:rsid w:val="00257FBA"/>
    <w:rsid w:val="00260A07"/>
    <w:rsid w:val="00262680"/>
    <w:rsid w:val="0026290C"/>
    <w:rsid w:val="00263632"/>
    <w:rsid w:val="00263AD7"/>
    <w:rsid w:val="00263FBD"/>
    <w:rsid w:val="00264607"/>
    <w:rsid w:val="00264895"/>
    <w:rsid w:val="002657BE"/>
    <w:rsid w:val="00265FB2"/>
    <w:rsid w:val="00266DFB"/>
    <w:rsid w:val="00270108"/>
    <w:rsid w:val="002728D4"/>
    <w:rsid w:val="00272BEA"/>
    <w:rsid w:val="00273AA8"/>
    <w:rsid w:val="00275C2B"/>
    <w:rsid w:val="0027673D"/>
    <w:rsid w:val="00277863"/>
    <w:rsid w:val="002804B2"/>
    <w:rsid w:val="00281313"/>
    <w:rsid w:val="00282CD3"/>
    <w:rsid w:val="00283D02"/>
    <w:rsid w:val="00284252"/>
    <w:rsid w:val="002866D5"/>
    <w:rsid w:val="0029169F"/>
    <w:rsid w:val="00291EFA"/>
    <w:rsid w:val="00297679"/>
    <w:rsid w:val="00297E16"/>
    <w:rsid w:val="002A0815"/>
    <w:rsid w:val="002A1318"/>
    <w:rsid w:val="002A1C11"/>
    <w:rsid w:val="002A2523"/>
    <w:rsid w:val="002A2DD6"/>
    <w:rsid w:val="002B060D"/>
    <w:rsid w:val="002B2599"/>
    <w:rsid w:val="002B49D1"/>
    <w:rsid w:val="002B4BC9"/>
    <w:rsid w:val="002B4D07"/>
    <w:rsid w:val="002B6FE8"/>
    <w:rsid w:val="002B6FED"/>
    <w:rsid w:val="002B7362"/>
    <w:rsid w:val="002B77A3"/>
    <w:rsid w:val="002B7DB8"/>
    <w:rsid w:val="002C4146"/>
    <w:rsid w:val="002C4CC1"/>
    <w:rsid w:val="002C537C"/>
    <w:rsid w:val="002D2145"/>
    <w:rsid w:val="002D2F2A"/>
    <w:rsid w:val="002D3393"/>
    <w:rsid w:val="002D35CE"/>
    <w:rsid w:val="002D7461"/>
    <w:rsid w:val="002E0638"/>
    <w:rsid w:val="002E06BB"/>
    <w:rsid w:val="002E12A0"/>
    <w:rsid w:val="002E1408"/>
    <w:rsid w:val="002E229A"/>
    <w:rsid w:val="002E5F07"/>
    <w:rsid w:val="002E729F"/>
    <w:rsid w:val="002E7C2F"/>
    <w:rsid w:val="002F054A"/>
    <w:rsid w:val="002F37C2"/>
    <w:rsid w:val="002F48B1"/>
    <w:rsid w:val="002F7655"/>
    <w:rsid w:val="003009D7"/>
    <w:rsid w:val="00301162"/>
    <w:rsid w:val="00302DD6"/>
    <w:rsid w:val="00304A3D"/>
    <w:rsid w:val="00306AB6"/>
    <w:rsid w:val="0030761F"/>
    <w:rsid w:val="00310386"/>
    <w:rsid w:val="00310EA3"/>
    <w:rsid w:val="0031510E"/>
    <w:rsid w:val="00321095"/>
    <w:rsid w:val="00324F36"/>
    <w:rsid w:val="00325372"/>
    <w:rsid w:val="00326FAE"/>
    <w:rsid w:val="0032756B"/>
    <w:rsid w:val="00330F40"/>
    <w:rsid w:val="00331E9D"/>
    <w:rsid w:val="0033240B"/>
    <w:rsid w:val="0033482C"/>
    <w:rsid w:val="00335539"/>
    <w:rsid w:val="003408A9"/>
    <w:rsid w:val="003430A9"/>
    <w:rsid w:val="00344763"/>
    <w:rsid w:val="00344CD3"/>
    <w:rsid w:val="00350641"/>
    <w:rsid w:val="00352225"/>
    <w:rsid w:val="0035265B"/>
    <w:rsid w:val="00353895"/>
    <w:rsid w:val="0036731D"/>
    <w:rsid w:val="0037205A"/>
    <w:rsid w:val="0037219F"/>
    <w:rsid w:val="00375642"/>
    <w:rsid w:val="003776EB"/>
    <w:rsid w:val="00377BB8"/>
    <w:rsid w:val="00381CB0"/>
    <w:rsid w:val="00382A9D"/>
    <w:rsid w:val="0038341F"/>
    <w:rsid w:val="00387202"/>
    <w:rsid w:val="00387739"/>
    <w:rsid w:val="00390E11"/>
    <w:rsid w:val="00393EF5"/>
    <w:rsid w:val="00394629"/>
    <w:rsid w:val="00394A13"/>
    <w:rsid w:val="00396612"/>
    <w:rsid w:val="00396E05"/>
    <w:rsid w:val="00397DD2"/>
    <w:rsid w:val="003A1B7B"/>
    <w:rsid w:val="003A1EB5"/>
    <w:rsid w:val="003A539A"/>
    <w:rsid w:val="003B4583"/>
    <w:rsid w:val="003B50DB"/>
    <w:rsid w:val="003B5767"/>
    <w:rsid w:val="003B6671"/>
    <w:rsid w:val="003C1BE8"/>
    <w:rsid w:val="003C4E9C"/>
    <w:rsid w:val="003C6DEF"/>
    <w:rsid w:val="003D07C3"/>
    <w:rsid w:val="003D25E0"/>
    <w:rsid w:val="003D2CF6"/>
    <w:rsid w:val="003D4772"/>
    <w:rsid w:val="003D7124"/>
    <w:rsid w:val="003E199A"/>
    <w:rsid w:val="003E1D4D"/>
    <w:rsid w:val="003E3230"/>
    <w:rsid w:val="003E3A85"/>
    <w:rsid w:val="003E4C7F"/>
    <w:rsid w:val="003E5873"/>
    <w:rsid w:val="003E719D"/>
    <w:rsid w:val="003F6728"/>
    <w:rsid w:val="003F7DDE"/>
    <w:rsid w:val="003F7F3D"/>
    <w:rsid w:val="00401776"/>
    <w:rsid w:val="00401BA9"/>
    <w:rsid w:val="00402ED3"/>
    <w:rsid w:val="00403CF3"/>
    <w:rsid w:val="0040641B"/>
    <w:rsid w:val="00407DD8"/>
    <w:rsid w:val="004107D8"/>
    <w:rsid w:val="00413417"/>
    <w:rsid w:val="00414986"/>
    <w:rsid w:val="00414DDC"/>
    <w:rsid w:val="004153BE"/>
    <w:rsid w:val="00417D8A"/>
    <w:rsid w:val="004235F7"/>
    <w:rsid w:val="00424776"/>
    <w:rsid w:val="0042624B"/>
    <w:rsid w:val="0042655F"/>
    <w:rsid w:val="00426AEB"/>
    <w:rsid w:val="00433675"/>
    <w:rsid w:val="004338E4"/>
    <w:rsid w:val="004360FD"/>
    <w:rsid w:val="0043776C"/>
    <w:rsid w:val="00437F1C"/>
    <w:rsid w:val="00437FED"/>
    <w:rsid w:val="00441218"/>
    <w:rsid w:val="00441474"/>
    <w:rsid w:val="00441941"/>
    <w:rsid w:val="00441A51"/>
    <w:rsid w:val="00442271"/>
    <w:rsid w:val="00442962"/>
    <w:rsid w:val="004439E5"/>
    <w:rsid w:val="00443BC3"/>
    <w:rsid w:val="00445B1A"/>
    <w:rsid w:val="004464DE"/>
    <w:rsid w:val="00452333"/>
    <w:rsid w:val="004549EB"/>
    <w:rsid w:val="00455655"/>
    <w:rsid w:val="00455BC7"/>
    <w:rsid w:val="00456878"/>
    <w:rsid w:val="00457C63"/>
    <w:rsid w:val="00460219"/>
    <w:rsid w:val="0046183A"/>
    <w:rsid w:val="00463A62"/>
    <w:rsid w:val="00463F8E"/>
    <w:rsid w:val="00466531"/>
    <w:rsid w:val="00466F46"/>
    <w:rsid w:val="00470EE6"/>
    <w:rsid w:val="00472DEB"/>
    <w:rsid w:val="0047470F"/>
    <w:rsid w:val="00481746"/>
    <w:rsid w:val="00485312"/>
    <w:rsid w:val="0048716E"/>
    <w:rsid w:val="004906D1"/>
    <w:rsid w:val="004919D6"/>
    <w:rsid w:val="0049361E"/>
    <w:rsid w:val="00494F85"/>
    <w:rsid w:val="00495D77"/>
    <w:rsid w:val="004A12FB"/>
    <w:rsid w:val="004A2B35"/>
    <w:rsid w:val="004A6007"/>
    <w:rsid w:val="004A6621"/>
    <w:rsid w:val="004C1BFC"/>
    <w:rsid w:val="004D1B94"/>
    <w:rsid w:val="004D4B73"/>
    <w:rsid w:val="004D4E2A"/>
    <w:rsid w:val="004D4E90"/>
    <w:rsid w:val="004D7678"/>
    <w:rsid w:val="004E2FDD"/>
    <w:rsid w:val="004E3438"/>
    <w:rsid w:val="004E6B8A"/>
    <w:rsid w:val="004E6EB9"/>
    <w:rsid w:val="004E7EB5"/>
    <w:rsid w:val="004F00EF"/>
    <w:rsid w:val="004F054D"/>
    <w:rsid w:val="004F2883"/>
    <w:rsid w:val="004F4E25"/>
    <w:rsid w:val="004F7362"/>
    <w:rsid w:val="0050128C"/>
    <w:rsid w:val="005028D0"/>
    <w:rsid w:val="00505197"/>
    <w:rsid w:val="005121F3"/>
    <w:rsid w:val="005121F5"/>
    <w:rsid w:val="00513461"/>
    <w:rsid w:val="005151EB"/>
    <w:rsid w:val="005171E5"/>
    <w:rsid w:val="00517B79"/>
    <w:rsid w:val="00517C92"/>
    <w:rsid w:val="00520473"/>
    <w:rsid w:val="00521160"/>
    <w:rsid w:val="005223C4"/>
    <w:rsid w:val="00524603"/>
    <w:rsid w:val="00525437"/>
    <w:rsid w:val="0052674C"/>
    <w:rsid w:val="0052717A"/>
    <w:rsid w:val="00530224"/>
    <w:rsid w:val="005302DC"/>
    <w:rsid w:val="00530C49"/>
    <w:rsid w:val="00531CF5"/>
    <w:rsid w:val="00534A1E"/>
    <w:rsid w:val="00534C3E"/>
    <w:rsid w:val="005355EF"/>
    <w:rsid w:val="0053572B"/>
    <w:rsid w:val="00537877"/>
    <w:rsid w:val="00540DDB"/>
    <w:rsid w:val="00541FCB"/>
    <w:rsid w:val="00543596"/>
    <w:rsid w:val="00543EB9"/>
    <w:rsid w:val="0054572D"/>
    <w:rsid w:val="00545E2C"/>
    <w:rsid w:val="00546B80"/>
    <w:rsid w:val="00550E16"/>
    <w:rsid w:val="00551422"/>
    <w:rsid w:val="00555648"/>
    <w:rsid w:val="00555B0F"/>
    <w:rsid w:val="00555BFB"/>
    <w:rsid w:val="00556735"/>
    <w:rsid w:val="00562CAB"/>
    <w:rsid w:val="00563009"/>
    <w:rsid w:val="00570410"/>
    <w:rsid w:val="00572C7A"/>
    <w:rsid w:val="0057569C"/>
    <w:rsid w:val="00575FDB"/>
    <w:rsid w:val="0057790F"/>
    <w:rsid w:val="00577AFE"/>
    <w:rsid w:val="0058395C"/>
    <w:rsid w:val="00584B58"/>
    <w:rsid w:val="00590780"/>
    <w:rsid w:val="00591780"/>
    <w:rsid w:val="0059195B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4684"/>
    <w:rsid w:val="005B46F9"/>
    <w:rsid w:val="005B7A5B"/>
    <w:rsid w:val="005C5447"/>
    <w:rsid w:val="005C5681"/>
    <w:rsid w:val="005C689B"/>
    <w:rsid w:val="005C6BBA"/>
    <w:rsid w:val="005C7ABC"/>
    <w:rsid w:val="005D127D"/>
    <w:rsid w:val="005D1FC2"/>
    <w:rsid w:val="005D38B5"/>
    <w:rsid w:val="005D3E8B"/>
    <w:rsid w:val="005D510D"/>
    <w:rsid w:val="005D679F"/>
    <w:rsid w:val="005D7B2C"/>
    <w:rsid w:val="005D7C3E"/>
    <w:rsid w:val="005E0410"/>
    <w:rsid w:val="005E0FF6"/>
    <w:rsid w:val="005E1A3D"/>
    <w:rsid w:val="005E2F07"/>
    <w:rsid w:val="005E3F4F"/>
    <w:rsid w:val="005E64A0"/>
    <w:rsid w:val="005E7B0B"/>
    <w:rsid w:val="006046B1"/>
    <w:rsid w:val="006058D6"/>
    <w:rsid w:val="006068C4"/>
    <w:rsid w:val="00606BEA"/>
    <w:rsid w:val="006076F0"/>
    <w:rsid w:val="00607C7F"/>
    <w:rsid w:val="00611B44"/>
    <w:rsid w:val="00613ABF"/>
    <w:rsid w:val="00613C9D"/>
    <w:rsid w:val="00614DFC"/>
    <w:rsid w:val="00615661"/>
    <w:rsid w:val="0062279F"/>
    <w:rsid w:val="00623DD3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56AA3"/>
    <w:rsid w:val="0066398C"/>
    <w:rsid w:val="006639A8"/>
    <w:rsid w:val="006661B8"/>
    <w:rsid w:val="00670024"/>
    <w:rsid w:val="00672CCC"/>
    <w:rsid w:val="006815B5"/>
    <w:rsid w:val="00682841"/>
    <w:rsid w:val="0068393F"/>
    <w:rsid w:val="0068444C"/>
    <w:rsid w:val="00685733"/>
    <w:rsid w:val="00685A16"/>
    <w:rsid w:val="00687143"/>
    <w:rsid w:val="006941E3"/>
    <w:rsid w:val="00695F11"/>
    <w:rsid w:val="006A199E"/>
    <w:rsid w:val="006A231F"/>
    <w:rsid w:val="006A27AF"/>
    <w:rsid w:val="006A44BB"/>
    <w:rsid w:val="006A5282"/>
    <w:rsid w:val="006A6A71"/>
    <w:rsid w:val="006A6EB5"/>
    <w:rsid w:val="006A750F"/>
    <w:rsid w:val="006A787B"/>
    <w:rsid w:val="006A7CC6"/>
    <w:rsid w:val="006B1203"/>
    <w:rsid w:val="006B5052"/>
    <w:rsid w:val="006B7751"/>
    <w:rsid w:val="006C0AE9"/>
    <w:rsid w:val="006C19D8"/>
    <w:rsid w:val="006C1E45"/>
    <w:rsid w:val="006C2763"/>
    <w:rsid w:val="006C2A15"/>
    <w:rsid w:val="006C3984"/>
    <w:rsid w:val="006C3E8B"/>
    <w:rsid w:val="006C4165"/>
    <w:rsid w:val="006C7753"/>
    <w:rsid w:val="006D020E"/>
    <w:rsid w:val="006D1984"/>
    <w:rsid w:val="006D3DE5"/>
    <w:rsid w:val="006D510D"/>
    <w:rsid w:val="006D7333"/>
    <w:rsid w:val="006E1084"/>
    <w:rsid w:val="006E10F3"/>
    <w:rsid w:val="006E2815"/>
    <w:rsid w:val="006E5BD7"/>
    <w:rsid w:val="006E733D"/>
    <w:rsid w:val="006E7995"/>
    <w:rsid w:val="006F067C"/>
    <w:rsid w:val="006F1662"/>
    <w:rsid w:val="006F1AE8"/>
    <w:rsid w:val="006F371D"/>
    <w:rsid w:val="006F5A67"/>
    <w:rsid w:val="006F5B30"/>
    <w:rsid w:val="006F7A20"/>
    <w:rsid w:val="007007F5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6A3E"/>
    <w:rsid w:val="007237F8"/>
    <w:rsid w:val="00723A5C"/>
    <w:rsid w:val="00723E12"/>
    <w:rsid w:val="00724B6B"/>
    <w:rsid w:val="00724CCB"/>
    <w:rsid w:val="0072588A"/>
    <w:rsid w:val="00725C70"/>
    <w:rsid w:val="007269AA"/>
    <w:rsid w:val="00731722"/>
    <w:rsid w:val="007319E3"/>
    <w:rsid w:val="00732858"/>
    <w:rsid w:val="00732A54"/>
    <w:rsid w:val="00732E3B"/>
    <w:rsid w:val="00733F04"/>
    <w:rsid w:val="00735450"/>
    <w:rsid w:val="0073580E"/>
    <w:rsid w:val="0073731D"/>
    <w:rsid w:val="007376EB"/>
    <w:rsid w:val="00740927"/>
    <w:rsid w:val="00740A42"/>
    <w:rsid w:val="0074244F"/>
    <w:rsid w:val="00742DA5"/>
    <w:rsid w:val="00743038"/>
    <w:rsid w:val="007442A7"/>
    <w:rsid w:val="00744CDC"/>
    <w:rsid w:val="00744D8B"/>
    <w:rsid w:val="00747110"/>
    <w:rsid w:val="00747359"/>
    <w:rsid w:val="0074787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2ABA"/>
    <w:rsid w:val="00775F5B"/>
    <w:rsid w:val="007762F1"/>
    <w:rsid w:val="00777656"/>
    <w:rsid w:val="007803B4"/>
    <w:rsid w:val="00780D6A"/>
    <w:rsid w:val="0078288C"/>
    <w:rsid w:val="007836A8"/>
    <w:rsid w:val="0078373D"/>
    <w:rsid w:val="00784B6D"/>
    <w:rsid w:val="00786D0A"/>
    <w:rsid w:val="00787760"/>
    <w:rsid w:val="00787791"/>
    <w:rsid w:val="00790099"/>
    <w:rsid w:val="00790191"/>
    <w:rsid w:val="00790CEC"/>
    <w:rsid w:val="00795120"/>
    <w:rsid w:val="007A1D7F"/>
    <w:rsid w:val="007A2CE2"/>
    <w:rsid w:val="007A51A9"/>
    <w:rsid w:val="007B229D"/>
    <w:rsid w:val="007B2AB5"/>
    <w:rsid w:val="007B2CA3"/>
    <w:rsid w:val="007B5E36"/>
    <w:rsid w:val="007B66E5"/>
    <w:rsid w:val="007B69CA"/>
    <w:rsid w:val="007C3496"/>
    <w:rsid w:val="007C7031"/>
    <w:rsid w:val="007D3ACC"/>
    <w:rsid w:val="007D52C4"/>
    <w:rsid w:val="007E2BBE"/>
    <w:rsid w:val="007E7C4E"/>
    <w:rsid w:val="007F0D50"/>
    <w:rsid w:val="007F0E5B"/>
    <w:rsid w:val="007F2332"/>
    <w:rsid w:val="007F388D"/>
    <w:rsid w:val="007F4C72"/>
    <w:rsid w:val="007F54C0"/>
    <w:rsid w:val="007F695B"/>
    <w:rsid w:val="0080132A"/>
    <w:rsid w:val="00801456"/>
    <w:rsid w:val="008020B7"/>
    <w:rsid w:val="00804C3C"/>
    <w:rsid w:val="00805325"/>
    <w:rsid w:val="00810F81"/>
    <w:rsid w:val="00811542"/>
    <w:rsid w:val="00811E53"/>
    <w:rsid w:val="008127C8"/>
    <w:rsid w:val="00815AB1"/>
    <w:rsid w:val="00820D13"/>
    <w:rsid w:val="00820E0D"/>
    <w:rsid w:val="008212BC"/>
    <w:rsid w:val="0082272D"/>
    <w:rsid w:val="008228DE"/>
    <w:rsid w:val="00825ABD"/>
    <w:rsid w:val="008269DF"/>
    <w:rsid w:val="00827001"/>
    <w:rsid w:val="00831720"/>
    <w:rsid w:val="00832AE7"/>
    <w:rsid w:val="00833521"/>
    <w:rsid w:val="00834C50"/>
    <w:rsid w:val="00836B80"/>
    <w:rsid w:val="00842760"/>
    <w:rsid w:val="00843A59"/>
    <w:rsid w:val="0084775A"/>
    <w:rsid w:val="0085042C"/>
    <w:rsid w:val="008505E9"/>
    <w:rsid w:val="008510BB"/>
    <w:rsid w:val="00851307"/>
    <w:rsid w:val="00852648"/>
    <w:rsid w:val="00852F01"/>
    <w:rsid w:val="00853436"/>
    <w:rsid w:val="0085417D"/>
    <w:rsid w:val="00855715"/>
    <w:rsid w:val="00856501"/>
    <w:rsid w:val="00857D93"/>
    <w:rsid w:val="00860065"/>
    <w:rsid w:val="00861179"/>
    <w:rsid w:val="00862B68"/>
    <w:rsid w:val="0086324F"/>
    <w:rsid w:val="008635EA"/>
    <w:rsid w:val="00864BD8"/>
    <w:rsid w:val="00865936"/>
    <w:rsid w:val="00865B11"/>
    <w:rsid w:val="00865B51"/>
    <w:rsid w:val="0086683F"/>
    <w:rsid w:val="00867CE1"/>
    <w:rsid w:val="00870C85"/>
    <w:rsid w:val="00871639"/>
    <w:rsid w:val="0087174F"/>
    <w:rsid w:val="0087215F"/>
    <w:rsid w:val="00872E08"/>
    <w:rsid w:val="0087367C"/>
    <w:rsid w:val="008751DC"/>
    <w:rsid w:val="0087537F"/>
    <w:rsid w:val="008764B8"/>
    <w:rsid w:val="0087667E"/>
    <w:rsid w:val="00876A96"/>
    <w:rsid w:val="00877DAE"/>
    <w:rsid w:val="0088091A"/>
    <w:rsid w:val="00891CFE"/>
    <w:rsid w:val="00892B24"/>
    <w:rsid w:val="00895AF1"/>
    <w:rsid w:val="008970DB"/>
    <w:rsid w:val="008A2A29"/>
    <w:rsid w:val="008A2DC6"/>
    <w:rsid w:val="008A5EC6"/>
    <w:rsid w:val="008A6404"/>
    <w:rsid w:val="008A6D0F"/>
    <w:rsid w:val="008B0CF1"/>
    <w:rsid w:val="008B16A6"/>
    <w:rsid w:val="008B209C"/>
    <w:rsid w:val="008C2826"/>
    <w:rsid w:val="008C2EE9"/>
    <w:rsid w:val="008C3C92"/>
    <w:rsid w:val="008C4015"/>
    <w:rsid w:val="008C4221"/>
    <w:rsid w:val="008C475B"/>
    <w:rsid w:val="008D18A7"/>
    <w:rsid w:val="008D57DB"/>
    <w:rsid w:val="008D5E1E"/>
    <w:rsid w:val="008D656A"/>
    <w:rsid w:val="008D672E"/>
    <w:rsid w:val="008E63C3"/>
    <w:rsid w:val="008E6AB3"/>
    <w:rsid w:val="008E7843"/>
    <w:rsid w:val="008F2708"/>
    <w:rsid w:val="0090162F"/>
    <w:rsid w:val="0090271E"/>
    <w:rsid w:val="00906F54"/>
    <w:rsid w:val="00907869"/>
    <w:rsid w:val="00912E4C"/>
    <w:rsid w:val="00914E62"/>
    <w:rsid w:val="00920A7D"/>
    <w:rsid w:val="00920BF6"/>
    <w:rsid w:val="00921842"/>
    <w:rsid w:val="00922E21"/>
    <w:rsid w:val="00923AF9"/>
    <w:rsid w:val="009250D0"/>
    <w:rsid w:val="0092624C"/>
    <w:rsid w:val="00932541"/>
    <w:rsid w:val="00932FBB"/>
    <w:rsid w:val="00934B7A"/>
    <w:rsid w:val="00934EF4"/>
    <w:rsid w:val="009371E7"/>
    <w:rsid w:val="00941318"/>
    <w:rsid w:val="0094257D"/>
    <w:rsid w:val="009426E9"/>
    <w:rsid w:val="00945011"/>
    <w:rsid w:val="009461D5"/>
    <w:rsid w:val="0095069D"/>
    <w:rsid w:val="00951CBC"/>
    <w:rsid w:val="00951ED9"/>
    <w:rsid w:val="00953136"/>
    <w:rsid w:val="00953E34"/>
    <w:rsid w:val="00954A80"/>
    <w:rsid w:val="00954DA5"/>
    <w:rsid w:val="0095684D"/>
    <w:rsid w:val="009607AD"/>
    <w:rsid w:val="009628FE"/>
    <w:rsid w:val="00962CC3"/>
    <w:rsid w:val="00963158"/>
    <w:rsid w:val="00964549"/>
    <w:rsid w:val="00965CF5"/>
    <w:rsid w:val="009662A4"/>
    <w:rsid w:val="00966CCF"/>
    <w:rsid w:val="009701BE"/>
    <w:rsid w:val="00971AD4"/>
    <w:rsid w:val="00972122"/>
    <w:rsid w:val="00972BAA"/>
    <w:rsid w:val="00974EE8"/>
    <w:rsid w:val="00976492"/>
    <w:rsid w:val="00980056"/>
    <w:rsid w:val="0098028D"/>
    <w:rsid w:val="00980306"/>
    <w:rsid w:val="00982BD5"/>
    <w:rsid w:val="009873A0"/>
    <w:rsid w:val="009902B5"/>
    <w:rsid w:val="00991506"/>
    <w:rsid w:val="00992412"/>
    <w:rsid w:val="00992D13"/>
    <w:rsid w:val="00993E64"/>
    <w:rsid w:val="00995785"/>
    <w:rsid w:val="009A273F"/>
    <w:rsid w:val="009A355E"/>
    <w:rsid w:val="009A5A99"/>
    <w:rsid w:val="009A75E3"/>
    <w:rsid w:val="009A7C8B"/>
    <w:rsid w:val="009B09FF"/>
    <w:rsid w:val="009B22C8"/>
    <w:rsid w:val="009B5CCB"/>
    <w:rsid w:val="009B77F4"/>
    <w:rsid w:val="009C0E05"/>
    <w:rsid w:val="009C1160"/>
    <w:rsid w:val="009C15DE"/>
    <w:rsid w:val="009C2058"/>
    <w:rsid w:val="009C34D3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50D3"/>
    <w:rsid w:val="009E69D5"/>
    <w:rsid w:val="009E6CC1"/>
    <w:rsid w:val="009F118B"/>
    <w:rsid w:val="009F1322"/>
    <w:rsid w:val="009F1BF3"/>
    <w:rsid w:val="009F2720"/>
    <w:rsid w:val="009F591D"/>
    <w:rsid w:val="009F76E6"/>
    <w:rsid w:val="009F7743"/>
    <w:rsid w:val="00A00B5A"/>
    <w:rsid w:val="00A021DD"/>
    <w:rsid w:val="00A026B5"/>
    <w:rsid w:val="00A0416B"/>
    <w:rsid w:val="00A06135"/>
    <w:rsid w:val="00A067FB"/>
    <w:rsid w:val="00A06DDF"/>
    <w:rsid w:val="00A101B2"/>
    <w:rsid w:val="00A10C8F"/>
    <w:rsid w:val="00A12F52"/>
    <w:rsid w:val="00A13225"/>
    <w:rsid w:val="00A13AF7"/>
    <w:rsid w:val="00A1437A"/>
    <w:rsid w:val="00A15166"/>
    <w:rsid w:val="00A166E8"/>
    <w:rsid w:val="00A16E86"/>
    <w:rsid w:val="00A17451"/>
    <w:rsid w:val="00A226A1"/>
    <w:rsid w:val="00A22EF9"/>
    <w:rsid w:val="00A2546D"/>
    <w:rsid w:val="00A25CC0"/>
    <w:rsid w:val="00A25D46"/>
    <w:rsid w:val="00A271D6"/>
    <w:rsid w:val="00A31566"/>
    <w:rsid w:val="00A32231"/>
    <w:rsid w:val="00A3241C"/>
    <w:rsid w:val="00A32C03"/>
    <w:rsid w:val="00A360BC"/>
    <w:rsid w:val="00A36E7A"/>
    <w:rsid w:val="00A37551"/>
    <w:rsid w:val="00A44F8B"/>
    <w:rsid w:val="00A46D9B"/>
    <w:rsid w:val="00A46F24"/>
    <w:rsid w:val="00A47BD1"/>
    <w:rsid w:val="00A47E1B"/>
    <w:rsid w:val="00A52465"/>
    <w:rsid w:val="00A54A16"/>
    <w:rsid w:val="00A54BBA"/>
    <w:rsid w:val="00A55393"/>
    <w:rsid w:val="00A575F1"/>
    <w:rsid w:val="00A61FC7"/>
    <w:rsid w:val="00A66CF3"/>
    <w:rsid w:val="00A7243F"/>
    <w:rsid w:val="00A72815"/>
    <w:rsid w:val="00A73816"/>
    <w:rsid w:val="00A7554E"/>
    <w:rsid w:val="00A77373"/>
    <w:rsid w:val="00A81D47"/>
    <w:rsid w:val="00A81E93"/>
    <w:rsid w:val="00A82DD1"/>
    <w:rsid w:val="00A83FD7"/>
    <w:rsid w:val="00A84C97"/>
    <w:rsid w:val="00A85DBF"/>
    <w:rsid w:val="00A87C88"/>
    <w:rsid w:val="00A918B7"/>
    <w:rsid w:val="00A92773"/>
    <w:rsid w:val="00A92853"/>
    <w:rsid w:val="00A95F02"/>
    <w:rsid w:val="00A97BB0"/>
    <w:rsid w:val="00AA004D"/>
    <w:rsid w:val="00AA0DAF"/>
    <w:rsid w:val="00AA180C"/>
    <w:rsid w:val="00AA1ADF"/>
    <w:rsid w:val="00AA1C06"/>
    <w:rsid w:val="00AA1CD3"/>
    <w:rsid w:val="00AA47CC"/>
    <w:rsid w:val="00AA4969"/>
    <w:rsid w:val="00AA5DC3"/>
    <w:rsid w:val="00AA689C"/>
    <w:rsid w:val="00AB089A"/>
    <w:rsid w:val="00AB236A"/>
    <w:rsid w:val="00AB57D6"/>
    <w:rsid w:val="00AB68D7"/>
    <w:rsid w:val="00AB7B38"/>
    <w:rsid w:val="00AC2B81"/>
    <w:rsid w:val="00AC3B61"/>
    <w:rsid w:val="00AC5C10"/>
    <w:rsid w:val="00AC5D74"/>
    <w:rsid w:val="00AC6520"/>
    <w:rsid w:val="00AC7FF9"/>
    <w:rsid w:val="00AD0550"/>
    <w:rsid w:val="00AD073E"/>
    <w:rsid w:val="00AD29FC"/>
    <w:rsid w:val="00AD2F08"/>
    <w:rsid w:val="00AD398D"/>
    <w:rsid w:val="00AD45E0"/>
    <w:rsid w:val="00AD648E"/>
    <w:rsid w:val="00AD6571"/>
    <w:rsid w:val="00AE0456"/>
    <w:rsid w:val="00AE0E9A"/>
    <w:rsid w:val="00AE1A3F"/>
    <w:rsid w:val="00AE5CE0"/>
    <w:rsid w:val="00AF0010"/>
    <w:rsid w:val="00AF056B"/>
    <w:rsid w:val="00AF0DBF"/>
    <w:rsid w:val="00AF1A34"/>
    <w:rsid w:val="00AF2DDB"/>
    <w:rsid w:val="00AF3626"/>
    <w:rsid w:val="00AF79A3"/>
    <w:rsid w:val="00B00ED1"/>
    <w:rsid w:val="00B01617"/>
    <w:rsid w:val="00B01E65"/>
    <w:rsid w:val="00B02EB2"/>
    <w:rsid w:val="00B03E2A"/>
    <w:rsid w:val="00B0439D"/>
    <w:rsid w:val="00B052EB"/>
    <w:rsid w:val="00B10CEF"/>
    <w:rsid w:val="00B11478"/>
    <w:rsid w:val="00B11956"/>
    <w:rsid w:val="00B12762"/>
    <w:rsid w:val="00B15270"/>
    <w:rsid w:val="00B154F6"/>
    <w:rsid w:val="00B16B6F"/>
    <w:rsid w:val="00B21E6F"/>
    <w:rsid w:val="00B2377B"/>
    <w:rsid w:val="00B23D81"/>
    <w:rsid w:val="00B2407D"/>
    <w:rsid w:val="00B242D8"/>
    <w:rsid w:val="00B24F41"/>
    <w:rsid w:val="00B25035"/>
    <w:rsid w:val="00B25440"/>
    <w:rsid w:val="00B25730"/>
    <w:rsid w:val="00B27192"/>
    <w:rsid w:val="00B30BEC"/>
    <w:rsid w:val="00B330A8"/>
    <w:rsid w:val="00B34A01"/>
    <w:rsid w:val="00B351A8"/>
    <w:rsid w:val="00B35256"/>
    <w:rsid w:val="00B35CE2"/>
    <w:rsid w:val="00B416A2"/>
    <w:rsid w:val="00B42DA3"/>
    <w:rsid w:val="00B4514E"/>
    <w:rsid w:val="00B4559C"/>
    <w:rsid w:val="00B45BBF"/>
    <w:rsid w:val="00B525CD"/>
    <w:rsid w:val="00B52D5F"/>
    <w:rsid w:val="00B5378D"/>
    <w:rsid w:val="00B539E2"/>
    <w:rsid w:val="00B56AD1"/>
    <w:rsid w:val="00B62282"/>
    <w:rsid w:val="00B622E8"/>
    <w:rsid w:val="00B62484"/>
    <w:rsid w:val="00B62C7F"/>
    <w:rsid w:val="00B63646"/>
    <w:rsid w:val="00B6537C"/>
    <w:rsid w:val="00B66AAC"/>
    <w:rsid w:val="00B66D0D"/>
    <w:rsid w:val="00B66F45"/>
    <w:rsid w:val="00B67362"/>
    <w:rsid w:val="00B67982"/>
    <w:rsid w:val="00B72DC8"/>
    <w:rsid w:val="00B73DD5"/>
    <w:rsid w:val="00B75619"/>
    <w:rsid w:val="00B75AF5"/>
    <w:rsid w:val="00B82925"/>
    <w:rsid w:val="00B9391A"/>
    <w:rsid w:val="00B94242"/>
    <w:rsid w:val="00B96F00"/>
    <w:rsid w:val="00B9702A"/>
    <w:rsid w:val="00B970FF"/>
    <w:rsid w:val="00BA07C6"/>
    <w:rsid w:val="00BA0A81"/>
    <w:rsid w:val="00BA2533"/>
    <w:rsid w:val="00BA2ED8"/>
    <w:rsid w:val="00BA301A"/>
    <w:rsid w:val="00BA3AFF"/>
    <w:rsid w:val="00BA4E78"/>
    <w:rsid w:val="00BA6058"/>
    <w:rsid w:val="00BA7C20"/>
    <w:rsid w:val="00BB61C1"/>
    <w:rsid w:val="00BC03AB"/>
    <w:rsid w:val="00BC2A99"/>
    <w:rsid w:val="00BC3298"/>
    <w:rsid w:val="00BC37E1"/>
    <w:rsid w:val="00BC46EE"/>
    <w:rsid w:val="00BC4C83"/>
    <w:rsid w:val="00BC5CE7"/>
    <w:rsid w:val="00BC5ED8"/>
    <w:rsid w:val="00BC6B25"/>
    <w:rsid w:val="00BD0433"/>
    <w:rsid w:val="00BD1008"/>
    <w:rsid w:val="00BD1ACD"/>
    <w:rsid w:val="00BD439C"/>
    <w:rsid w:val="00BD4ED6"/>
    <w:rsid w:val="00BD546D"/>
    <w:rsid w:val="00BD6392"/>
    <w:rsid w:val="00BD7916"/>
    <w:rsid w:val="00BE4A44"/>
    <w:rsid w:val="00BE4BD5"/>
    <w:rsid w:val="00BE5CF1"/>
    <w:rsid w:val="00BE7847"/>
    <w:rsid w:val="00BF273D"/>
    <w:rsid w:val="00BF3970"/>
    <w:rsid w:val="00BF3C63"/>
    <w:rsid w:val="00BF6CEE"/>
    <w:rsid w:val="00C0066B"/>
    <w:rsid w:val="00C00DB7"/>
    <w:rsid w:val="00C02FF8"/>
    <w:rsid w:val="00C063C6"/>
    <w:rsid w:val="00C074A7"/>
    <w:rsid w:val="00C07ADA"/>
    <w:rsid w:val="00C07D8A"/>
    <w:rsid w:val="00C1070A"/>
    <w:rsid w:val="00C11211"/>
    <w:rsid w:val="00C153E4"/>
    <w:rsid w:val="00C159A4"/>
    <w:rsid w:val="00C16B11"/>
    <w:rsid w:val="00C2055D"/>
    <w:rsid w:val="00C21947"/>
    <w:rsid w:val="00C2332E"/>
    <w:rsid w:val="00C24DE4"/>
    <w:rsid w:val="00C25232"/>
    <w:rsid w:val="00C27996"/>
    <w:rsid w:val="00C30175"/>
    <w:rsid w:val="00C31A38"/>
    <w:rsid w:val="00C33DF6"/>
    <w:rsid w:val="00C342BB"/>
    <w:rsid w:val="00C34A75"/>
    <w:rsid w:val="00C401D3"/>
    <w:rsid w:val="00C41B21"/>
    <w:rsid w:val="00C4353A"/>
    <w:rsid w:val="00C515B2"/>
    <w:rsid w:val="00C51C95"/>
    <w:rsid w:val="00C51CC2"/>
    <w:rsid w:val="00C53501"/>
    <w:rsid w:val="00C540FC"/>
    <w:rsid w:val="00C54443"/>
    <w:rsid w:val="00C548E7"/>
    <w:rsid w:val="00C55752"/>
    <w:rsid w:val="00C55F64"/>
    <w:rsid w:val="00C568E9"/>
    <w:rsid w:val="00C60267"/>
    <w:rsid w:val="00C60EE8"/>
    <w:rsid w:val="00C65F1E"/>
    <w:rsid w:val="00C675B3"/>
    <w:rsid w:val="00C716C3"/>
    <w:rsid w:val="00C71E27"/>
    <w:rsid w:val="00C744D7"/>
    <w:rsid w:val="00C74F6C"/>
    <w:rsid w:val="00C80234"/>
    <w:rsid w:val="00C81A08"/>
    <w:rsid w:val="00C82501"/>
    <w:rsid w:val="00C8419A"/>
    <w:rsid w:val="00C8535B"/>
    <w:rsid w:val="00C86278"/>
    <w:rsid w:val="00C86EAB"/>
    <w:rsid w:val="00C90A30"/>
    <w:rsid w:val="00C924C5"/>
    <w:rsid w:val="00C92A74"/>
    <w:rsid w:val="00C95FD7"/>
    <w:rsid w:val="00C968A3"/>
    <w:rsid w:val="00CA1A8C"/>
    <w:rsid w:val="00CA3186"/>
    <w:rsid w:val="00CA5F9E"/>
    <w:rsid w:val="00CA6A72"/>
    <w:rsid w:val="00CA6CBA"/>
    <w:rsid w:val="00CA75FC"/>
    <w:rsid w:val="00CB0196"/>
    <w:rsid w:val="00CB0477"/>
    <w:rsid w:val="00CB0B32"/>
    <w:rsid w:val="00CB1831"/>
    <w:rsid w:val="00CB6192"/>
    <w:rsid w:val="00CB6BE6"/>
    <w:rsid w:val="00CC0D63"/>
    <w:rsid w:val="00CC150D"/>
    <w:rsid w:val="00CC163E"/>
    <w:rsid w:val="00CC35CA"/>
    <w:rsid w:val="00CC3D67"/>
    <w:rsid w:val="00CC4D99"/>
    <w:rsid w:val="00CC6465"/>
    <w:rsid w:val="00CD0C90"/>
    <w:rsid w:val="00CD0E29"/>
    <w:rsid w:val="00CD141E"/>
    <w:rsid w:val="00CD2EC8"/>
    <w:rsid w:val="00CD53C3"/>
    <w:rsid w:val="00CD7EE0"/>
    <w:rsid w:val="00CE0398"/>
    <w:rsid w:val="00CE1B64"/>
    <w:rsid w:val="00CE21AE"/>
    <w:rsid w:val="00CE24B3"/>
    <w:rsid w:val="00CE34FF"/>
    <w:rsid w:val="00CE4199"/>
    <w:rsid w:val="00CE5AEB"/>
    <w:rsid w:val="00CE61A9"/>
    <w:rsid w:val="00CE7E21"/>
    <w:rsid w:val="00CF0DF4"/>
    <w:rsid w:val="00CF17D5"/>
    <w:rsid w:val="00CF1FAA"/>
    <w:rsid w:val="00CF2651"/>
    <w:rsid w:val="00D02B09"/>
    <w:rsid w:val="00D031C2"/>
    <w:rsid w:val="00D05A78"/>
    <w:rsid w:val="00D07169"/>
    <w:rsid w:val="00D11296"/>
    <w:rsid w:val="00D113D3"/>
    <w:rsid w:val="00D154DF"/>
    <w:rsid w:val="00D155BC"/>
    <w:rsid w:val="00D1640E"/>
    <w:rsid w:val="00D2061A"/>
    <w:rsid w:val="00D209DD"/>
    <w:rsid w:val="00D239C0"/>
    <w:rsid w:val="00D249D6"/>
    <w:rsid w:val="00D24A35"/>
    <w:rsid w:val="00D257BF"/>
    <w:rsid w:val="00D27F4A"/>
    <w:rsid w:val="00D304DF"/>
    <w:rsid w:val="00D31282"/>
    <w:rsid w:val="00D312F2"/>
    <w:rsid w:val="00D3133D"/>
    <w:rsid w:val="00D3219E"/>
    <w:rsid w:val="00D34AB0"/>
    <w:rsid w:val="00D44789"/>
    <w:rsid w:val="00D449DC"/>
    <w:rsid w:val="00D4500F"/>
    <w:rsid w:val="00D4516D"/>
    <w:rsid w:val="00D45721"/>
    <w:rsid w:val="00D46C28"/>
    <w:rsid w:val="00D47052"/>
    <w:rsid w:val="00D474D0"/>
    <w:rsid w:val="00D47E27"/>
    <w:rsid w:val="00D51705"/>
    <w:rsid w:val="00D52541"/>
    <w:rsid w:val="00D52904"/>
    <w:rsid w:val="00D53915"/>
    <w:rsid w:val="00D60CFC"/>
    <w:rsid w:val="00D61B14"/>
    <w:rsid w:val="00D63C1C"/>
    <w:rsid w:val="00D6500F"/>
    <w:rsid w:val="00D70317"/>
    <w:rsid w:val="00D72488"/>
    <w:rsid w:val="00D75E7D"/>
    <w:rsid w:val="00D8046B"/>
    <w:rsid w:val="00D80F91"/>
    <w:rsid w:val="00D81A3A"/>
    <w:rsid w:val="00D87637"/>
    <w:rsid w:val="00D87C9F"/>
    <w:rsid w:val="00D90DFD"/>
    <w:rsid w:val="00D9169A"/>
    <w:rsid w:val="00D9183A"/>
    <w:rsid w:val="00D92194"/>
    <w:rsid w:val="00D9553B"/>
    <w:rsid w:val="00D95E13"/>
    <w:rsid w:val="00D9639A"/>
    <w:rsid w:val="00D9658C"/>
    <w:rsid w:val="00D96B08"/>
    <w:rsid w:val="00DA096F"/>
    <w:rsid w:val="00DA12E7"/>
    <w:rsid w:val="00DA1F2C"/>
    <w:rsid w:val="00DA30B4"/>
    <w:rsid w:val="00DA40EB"/>
    <w:rsid w:val="00DA42AE"/>
    <w:rsid w:val="00DA71B0"/>
    <w:rsid w:val="00DB3533"/>
    <w:rsid w:val="00DB411D"/>
    <w:rsid w:val="00DB496E"/>
    <w:rsid w:val="00DB7670"/>
    <w:rsid w:val="00DC1CAB"/>
    <w:rsid w:val="00DC25DC"/>
    <w:rsid w:val="00DC5714"/>
    <w:rsid w:val="00DC5DC0"/>
    <w:rsid w:val="00DD0547"/>
    <w:rsid w:val="00DD1261"/>
    <w:rsid w:val="00DD2363"/>
    <w:rsid w:val="00DD3A07"/>
    <w:rsid w:val="00DD436D"/>
    <w:rsid w:val="00DD6D1A"/>
    <w:rsid w:val="00DD77FB"/>
    <w:rsid w:val="00DE0953"/>
    <w:rsid w:val="00DE1EE8"/>
    <w:rsid w:val="00DE3381"/>
    <w:rsid w:val="00DE40F8"/>
    <w:rsid w:val="00DE5150"/>
    <w:rsid w:val="00DE5CBD"/>
    <w:rsid w:val="00DE5EF0"/>
    <w:rsid w:val="00DE5FF7"/>
    <w:rsid w:val="00DF0AAB"/>
    <w:rsid w:val="00DF29F1"/>
    <w:rsid w:val="00DF4894"/>
    <w:rsid w:val="00DF5DC0"/>
    <w:rsid w:val="00DF771F"/>
    <w:rsid w:val="00E00848"/>
    <w:rsid w:val="00E03A4E"/>
    <w:rsid w:val="00E04012"/>
    <w:rsid w:val="00E06F72"/>
    <w:rsid w:val="00E12259"/>
    <w:rsid w:val="00E139D0"/>
    <w:rsid w:val="00E17610"/>
    <w:rsid w:val="00E17E81"/>
    <w:rsid w:val="00E2046C"/>
    <w:rsid w:val="00E218E4"/>
    <w:rsid w:val="00E21E14"/>
    <w:rsid w:val="00E2232F"/>
    <w:rsid w:val="00E23CDD"/>
    <w:rsid w:val="00E23D28"/>
    <w:rsid w:val="00E23E8D"/>
    <w:rsid w:val="00E2440A"/>
    <w:rsid w:val="00E2497F"/>
    <w:rsid w:val="00E2588D"/>
    <w:rsid w:val="00E26598"/>
    <w:rsid w:val="00E30271"/>
    <w:rsid w:val="00E3096D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71BB"/>
    <w:rsid w:val="00E374DE"/>
    <w:rsid w:val="00E40C54"/>
    <w:rsid w:val="00E435AC"/>
    <w:rsid w:val="00E44E38"/>
    <w:rsid w:val="00E4607A"/>
    <w:rsid w:val="00E460A3"/>
    <w:rsid w:val="00E460EC"/>
    <w:rsid w:val="00E46654"/>
    <w:rsid w:val="00E47768"/>
    <w:rsid w:val="00E5040B"/>
    <w:rsid w:val="00E504BB"/>
    <w:rsid w:val="00E52878"/>
    <w:rsid w:val="00E63C93"/>
    <w:rsid w:val="00E63EC9"/>
    <w:rsid w:val="00E64B16"/>
    <w:rsid w:val="00E66164"/>
    <w:rsid w:val="00E66CB4"/>
    <w:rsid w:val="00E66E13"/>
    <w:rsid w:val="00E70CC5"/>
    <w:rsid w:val="00E70DD1"/>
    <w:rsid w:val="00E71423"/>
    <w:rsid w:val="00E73AF3"/>
    <w:rsid w:val="00E749FC"/>
    <w:rsid w:val="00E861C7"/>
    <w:rsid w:val="00E86C23"/>
    <w:rsid w:val="00E87295"/>
    <w:rsid w:val="00E876CB"/>
    <w:rsid w:val="00E910BA"/>
    <w:rsid w:val="00E932F8"/>
    <w:rsid w:val="00E94609"/>
    <w:rsid w:val="00E94CA4"/>
    <w:rsid w:val="00EA0D57"/>
    <w:rsid w:val="00EA4372"/>
    <w:rsid w:val="00EA46BD"/>
    <w:rsid w:val="00EA5235"/>
    <w:rsid w:val="00EA7171"/>
    <w:rsid w:val="00EB1CDC"/>
    <w:rsid w:val="00EB2591"/>
    <w:rsid w:val="00EB382C"/>
    <w:rsid w:val="00EB7043"/>
    <w:rsid w:val="00EC2C1F"/>
    <w:rsid w:val="00EC48BB"/>
    <w:rsid w:val="00EC542F"/>
    <w:rsid w:val="00ED16F8"/>
    <w:rsid w:val="00ED1AD3"/>
    <w:rsid w:val="00ED296A"/>
    <w:rsid w:val="00ED4B7E"/>
    <w:rsid w:val="00ED6B19"/>
    <w:rsid w:val="00ED78ED"/>
    <w:rsid w:val="00EE3AB5"/>
    <w:rsid w:val="00EE5FC0"/>
    <w:rsid w:val="00EF19B1"/>
    <w:rsid w:val="00EF52EE"/>
    <w:rsid w:val="00EF5786"/>
    <w:rsid w:val="00EF69FD"/>
    <w:rsid w:val="00EF7386"/>
    <w:rsid w:val="00EF748B"/>
    <w:rsid w:val="00F000D2"/>
    <w:rsid w:val="00F01F05"/>
    <w:rsid w:val="00F05585"/>
    <w:rsid w:val="00F07CCF"/>
    <w:rsid w:val="00F10B84"/>
    <w:rsid w:val="00F112E8"/>
    <w:rsid w:val="00F11C51"/>
    <w:rsid w:val="00F126CE"/>
    <w:rsid w:val="00F12E58"/>
    <w:rsid w:val="00F13365"/>
    <w:rsid w:val="00F1700F"/>
    <w:rsid w:val="00F217A3"/>
    <w:rsid w:val="00F21835"/>
    <w:rsid w:val="00F2240D"/>
    <w:rsid w:val="00F2354B"/>
    <w:rsid w:val="00F24726"/>
    <w:rsid w:val="00F2578D"/>
    <w:rsid w:val="00F32543"/>
    <w:rsid w:val="00F350CB"/>
    <w:rsid w:val="00F35A3B"/>
    <w:rsid w:val="00F37688"/>
    <w:rsid w:val="00F40FFD"/>
    <w:rsid w:val="00F42AFB"/>
    <w:rsid w:val="00F42BFD"/>
    <w:rsid w:val="00F449F6"/>
    <w:rsid w:val="00F4545D"/>
    <w:rsid w:val="00F46196"/>
    <w:rsid w:val="00F52526"/>
    <w:rsid w:val="00F52D93"/>
    <w:rsid w:val="00F5448D"/>
    <w:rsid w:val="00F54B47"/>
    <w:rsid w:val="00F5552F"/>
    <w:rsid w:val="00F56903"/>
    <w:rsid w:val="00F570E0"/>
    <w:rsid w:val="00F60276"/>
    <w:rsid w:val="00F6062D"/>
    <w:rsid w:val="00F60AB1"/>
    <w:rsid w:val="00F60B88"/>
    <w:rsid w:val="00F6112D"/>
    <w:rsid w:val="00F61352"/>
    <w:rsid w:val="00F6523E"/>
    <w:rsid w:val="00F65604"/>
    <w:rsid w:val="00F66D29"/>
    <w:rsid w:val="00F738FA"/>
    <w:rsid w:val="00F7749F"/>
    <w:rsid w:val="00F779C6"/>
    <w:rsid w:val="00F82A9C"/>
    <w:rsid w:val="00F83B09"/>
    <w:rsid w:val="00F87936"/>
    <w:rsid w:val="00F87D52"/>
    <w:rsid w:val="00F90388"/>
    <w:rsid w:val="00F9054E"/>
    <w:rsid w:val="00F92030"/>
    <w:rsid w:val="00F926F1"/>
    <w:rsid w:val="00F94E1D"/>
    <w:rsid w:val="00F974D7"/>
    <w:rsid w:val="00FA1392"/>
    <w:rsid w:val="00FA1A3D"/>
    <w:rsid w:val="00FA257D"/>
    <w:rsid w:val="00FA64F4"/>
    <w:rsid w:val="00FB244F"/>
    <w:rsid w:val="00FB4027"/>
    <w:rsid w:val="00FB6265"/>
    <w:rsid w:val="00FB666B"/>
    <w:rsid w:val="00FB7F2C"/>
    <w:rsid w:val="00FC1170"/>
    <w:rsid w:val="00FC26A8"/>
    <w:rsid w:val="00FC26D6"/>
    <w:rsid w:val="00FC3821"/>
    <w:rsid w:val="00FC600B"/>
    <w:rsid w:val="00FC7265"/>
    <w:rsid w:val="00FC7623"/>
    <w:rsid w:val="00FD1EB7"/>
    <w:rsid w:val="00FD277E"/>
    <w:rsid w:val="00FD27FC"/>
    <w:rsid w:val="00FD2E59"/>
    <w:rsid w:val="00FD62E6"/>
    <w:rsid w:val="00FD6599"/>
    <w:rsid w:val="00FD68B2"/>
    <w:rsid w:val="00FE3523"/>
    <w:rsid w:val="00FE3BA8"/>
    <w:rsid w:val="00FE40D8"/>
    <w:rsid w:val="00FE4BD2"/>
    <w:rsid w:val="00FE4C3F"/>
    <w:rsid w:val="00FE5262"/>
    <w:rsid w:val="00FE5429"/>
    <w:rsid w:val="00FF1430"/>
    <w:rsid w:val="00FF158D"/>
    <w:rsid w:val="00FF2152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  <w:style w:type="character" w:customStyle="1" w:styleId="FontStyle43">
    <w:name w:val="Font Style43"/>
    <w:uiPriority w:val="99"/>
    <w:rsid w:val="005302DC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x.co.id/" TargetMode="External"/><Relationship Id="rId13" Type="http://schemas.openxmlformats.org/officeDocument/2006/relationships/hyperlink" Target="https://www.idnfinancials.com/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x.co.i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dnfinancials.com/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ance.yaho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13</Pages>
  <Words>3000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593</cp:revision>
  <cp:lastPrinted>2021-06-30T11:56:00Z</cp:lastPrinted>
  <dcterms:created xsi:type="dcterms:W3CDTF">2022-07-01T14:15:00Z</dcterms:created>
  <dcterms:modified xsi:type="dcterms:W3CDTF">2022-11-05T13:00:00Z</dcterms:modified>
</cp:coreProperties>
</file>