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5E1E" w14:textId="5B406E76" w:rsidR="00466531" w:rsidRPr="00E66164" w:rsidRDefault="00466531" w:rsidP="00A14D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164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IV</w:t>
      </w:r>
    </w:p>
    <w:p w14:paraId="41E6410A" w14:textId="249F8DE4" w:rsidR="00E66164" w:rsidRPr="007247D8" w:rsidRDefault="00466531" w:rsidP="00A14D17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4D1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PEMBAHASAN PENELITIAN</w:t>
      </w:r>
    </w:p>
    <w:p w14:paraId="18133D12" w14:textId="77777777" w:rsidR="00E90BF1" w:rsidRPr="00E66164" w:rsidRDefault="00E90BF1" w:rsidP="00EF246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CC17B0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7B35CFB9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6C4AEBA5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3B41A2F2" w14:textId="77777777" w:rsidR="00466531" w:rsidRPr="00466531" w:rsidRDefault="00466531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en-US"/>
        </w:rPr>
      </w:pPr>
    </w:p>
    <w:p w14:paraId="3E12F30B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1EFD011F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6383C754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1FC1DF14" w14:textId="77777777" w:rsidR="00575FDB" w:rsidRPr="00575FDB" w:rsidRDefault="00575FDB">
      <w:pPr>
        <w:pStyle w:val="ListParagraph"/>
        <w:keepNext/>
        <w:keepLines/>
        <w:numPr>
          <w:ilvl w:val="0"/>
          <w:numId w:val="21"/>
        </w:numPr>
        <w:spacing w:before="40" w:after="0" w:line="48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val="en-US"/>
        </w:rPr>
      </w:pPr>
    </w:p>
    <w:p w14:paraId="0DF286FC" w14:textId="521C9D2A" w:rsidR="00466531" w:rsidRPr="00BF10F4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Gambaran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Umum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Perusahaan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Industri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Dasar</w:t>
      </w:r>
      <w:r w:rsidR="00FC26D6"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dan Kimia</w:t>
      </w:r>
    </w:p>
    <w:p w14:paraId="5E202C90" w14:textId="4602E435" w:rsidR="00466531" w:rsidRPr="00BF10F4" w:rsidRDefault="00931962" w:rsidP="009214CB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Gambaran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Umum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Perusahaan</w:t>
      </w:r>
      <w:r w:rsidR="00B66D0D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B66D0D" w:rsidRPr="00BF10F4">
        <w:rPr>
          <w:rFonts w:ascii="Times New Roman" w:hAnsi="Times New Roman" w:cs="Times New Roman"/>
          <w:b/>
          <w:bCs/>
          <w:color w:val="auto"/>
          <w:lang w:val="en-US"/>
        </w:rPr>
        <w:t>Sektor</w:t>
      </w:r>
      <w:proofErr w:type="spellEnd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Industri</w:t>
      </w:r>
      <w:proofErr w:type="spellEnd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Dasar</w:t>
      </w:r>
      <w:r w:rsidR="00C74F6C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dan Kimia</w:t>
      </w:r>
    </w:p>
    <w:p w14:paraId="2EFD93B0" w14:textId="77777777" w:rsidR="009214CB" w:rsidRDefault="00532403" w:rsidP="009214C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Di Indonesia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, salah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menyerap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taraf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kesejahteraan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. Perusahaan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oleh pasar.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pasar,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juga proses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mesin-mesin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. Perusahaan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tergolong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403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5324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3BD4CC" w14:textId="77777777" w:rsidR="009214CB" w:rsidRDefault="00B66D0D" w:rsidP="009214C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6D0D">
        <w:rPr>
          <w:rFonts w:ascii="Times New Roman" w:hAnsi="Times New Roman" w:cs="Times New Roman"/>
          <w:sz w:val="24"/>
          <w:szCs w:val="24"/>
          <w:lang w:val="en-US"/>
        </w:rPr>
        <w:t>Perusahaan</w:t>
      </w:r>
      <w:r w:rsidR="00415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53BE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240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66D0D">
        <w:rPr>
          <w:rFonts w:ascii="Times New Roman" w:hAnsi="Times New Roman" w:cs="Times New Roman"/>
          <w:sz w:val="24"/>
          <w:szCs w:val="24"/>
          <w:lang w:val="en-US"/>
        </w:rPr>
        <w:t>non-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migas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bahan-bahan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6D0D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B66D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8F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asar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458F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imia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dan non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organik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mentah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pembentukan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produk</w:t>
      </w:r>
      <w:r w:rsidR="00DB33A2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domestik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manufaktur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pertanian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="00750822" w:rsidRPr="00750822">
        <w:rPr>
          <w:rFonts w:ascii="Times New Roman" w:hAnsi="Times New Roman" w:cs="Times New Roman"/>
          <w:sz w:val="24"/>
          <w:szCs w:val="24"/>
          <w:lang w:val="en-US"/>
        </w:rPr>
        <w:t xml:space="preserve"> dan real estate. </w:t>
      </w:r>
    </w:p>
    <w:p w14:paraId="67B8A2EA" w14:textId="0E527414" w:rsidR="00861179" w:rsidRDefault="00750822" w:rsidP="009214CB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12E4C">
        <w:rPr>
          <w:rFonts w:ascii="Times New Roman" w:hAnsi="Times New Roman" w:cs="Times New Roman"/>
          <w:sz w:val="24"/>
          <w:szCs w:val="24"/>
          <w:lang w:val="en-US"/>
        </w:rPr>
        <w:t>erdapat</w:t>
      </w:r>
      <w:proofErr w:type="spellEnd"/>
      <w:r w:rsidR="00912E4C">
        <w:rPr>
          <w:rFonts w:ascii="Times New Roman" w:hAnsi="Times New Roman" w:cs="Times New Roman"/>
          <w:sz w:val="24"/>
          <w:szCs w:val="24"/>
          <w:lang w:val="en-US"/>
        </w:rPr>
        <w:t xml:space="preserve"> 15 (lima </w:t>
      </w:r>
      <w:proofErr w:type="spellStart"/>
      <w:r w:rsidR="00912E4C">
        <w:rPr>
          <w:rFonts w:ascii="Times New Roman" w:hAnsi="Times New Roman" w:cs="Times New Roman"/>
          <w:sz w:val="24"/>
          <w:szCs w:val="24"/>
          <w:lang w:val="en-US"/>
        </w:rPr>
        <w:t>belas</w:t>
      </w:r>
      <w:proofErr w:type="spellEnd"/>
      <w:r w:rsidR="00912E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07D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912E4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62680">
        <w:rPr>
          <w:rFonts w:ascii="Times New Roman" w:hAnsi="Times New Roman" w:cs="Times New Roman"/>
          <w:sz w:val="24"/>
          <w:szCs w:val="24"/>
          <w:lang w:val="en-US"/>
        </w:rPr>
        <w:t>tor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403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A403F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="008A403F">
        <w:rPr>
          <w:rFonts w:ascii="Times New Roman" w:hAnsi="Times New Roman" w:cs="Times New Roman"/>
          <w:sz w:val="24"/>
          <w:szCs w:val="24"/>
          <w:lang w:val="en-US"/>
        </w:rPr>
        <w:t xml:space="preserve"> di Bursa </w:t>
      </w:r>
      <w:proofErr w:type="spellStart"/>
      <w:r w:rsidR="008A403F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="008A403F">
        <w:rPr>
          <w:rFonts w:ascii="Times New Roman" w:hAnsi="Times New Roman" w:cs="Times New Roman"/>
          <w:sz w:val="24"/>
          <w:szCs w:val="24"/>
          <w:lang w:val="en-US"/>
        </w:rPr>
        <w:t xml:space="preserve"> Indonesia (BEI) </w:t>
      </w:r>
      <w:proofErr w:type="spellStart"/>
      <w:r w:rsidR="008A403F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="008A403F">
        <w:rPr>
          <w:rFonts w:ascii="Times New Roman" w:hAnsi="Times New Roman" w:cs="Times New Roman"/>
          <w:sz w:val="24"/>
          <w:szCs w:val="24"/>
          <w:lang w:val="en-US"/>
        </w:rPr>
        <w:t xml:space="preserve"> 2016-2021 </w:t>
      </w:r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262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2680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179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1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179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17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17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8611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01524F" w14:textId="13C6422C" w:rsidR="00B66D0D" w:rsidRPr="009376AB" w:rsidRDefault="009376AB" w:rsidP="009214CB">
      <w:pPr>
        <w:pStyle w:val="ListParagraph"/>
        <w:numPr>
          <w:ilvl w:val="0"/>
          <w:numId w:val="2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keramik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kaca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porselen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2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652566" w14:textId="7244AA6C" w:rsidR="00861179" w:rsidRPr="009376AB" w:rsidRDefault="009376AB" w:rsidP="009214CB">
      <w:pPr>
        <w:pStyle w:val="ListParagraph"/>
        <w:numPr>
          <w:ilvl w:val="0"/>
          <w:numId w:val="2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DECA5A" w14:textId="09930210" w:rsidR="00861179" w:rsidRPr="009376AB" w:rsidRDefault="009376AB" w:rsidP="009214CB">
      <w:pPr>
        <w:pStyle w:val="ListParagraph"/>
        <w:numPr>
          <w:ilvl w:val="0"/>
          <w:numId w:val="2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lastRenderedPageBreak/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6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enam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F1CF5E" w14:textId="718C70DA" w:rsidR="00861179" w:rsidRPr="009376AB" w:rsidRDefault="009376AB" w:rsidP="009214CB">
      <w:pPr>
        <w:pStyle w:val="ListParagraph"/>
        <w:numPr>
          <w:ilvl w:val="0"/>
          <w:numId w:val="2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palstik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kemasan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3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FE42A0" w14:textId="291D1D63" w:rsidR="00861179" w:rsidRPr="009376AB" w:rsidRDefault="009376AB" w:rsidP="009214CB">
      <w:pPr>
        <w:pStyle w:val="ListParagraph"/>
        <w:numPr>
          <w:ilvl w:val="0"/>
          <w:numId w:val="2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kayu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2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494634" w14:textId="78A731F2" w:rsidR="000F73EF" w:rsidRPr="009376AB" w:rsidRDefault="009376AB" w:rsidP="009214CB">
      <w:pPr>
        <w:pStyle w:val="ListParagraph"/>
        <w:numPr>
          <w:ilvl w:val="0"/>
          <w:numId w:val="23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subsektor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lain-lain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 1 (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376A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376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F83C7E" w14:textId="1215524F" w:rsidR="002F48B1" w:rsidRPr="002F48B1" w:rsidRDefault="002F48B1" w:rsidP="009214C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IV.1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Sampel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Daftar Perusahaan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Sektor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industri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Dasar dan Kimia yang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terdaftar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Bursa </w:t>
      </w:r>
      <w:proofErr w:type="spellStart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>Efek</w:t>
      </w:r>
      <w:proofErr w:type="spellEnd"/>
      <w:r w:rsidRPr="002F48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Indonesia</w:t>
      </w:r>
      <w:r w:rsidR="003E58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E5873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="003E58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2016-2021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8"/>
        <w:gridCol w:w="2573"/>
        <w:gridCol w:w="1277"/>
        <w:gridCol w:w="4504"/>
      </w:tblGrid>
      <w:tr w:rsidR="00056369" w:rsidRPr="002F48B1" w14:paraId="4C5BDA7B" w14:textId="77777777" w:rsidTr="009214CB">
        <w:tc>
          <w:tcPr>
            <w:tcW w:w="5000" w:type="pct"/>
            <w:gridSpan w:val="4"/>
          </w:tcPr>
          <w:p w14:paraId="77888B7B" w14:textId="1E4C3B48" w:rsidR="00056369" w:rsidRPr="002F48B1" w:rsidRDefault="00056369" w:rsidP="002F48B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Daftar Perusahaan </w:t>
            </w: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Sektor</w:t>
            </w:r>
            <w:proofErr w:type="spellEnd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Industri</w:t>
            </w:r>
            <w:proofErr w:type="spellEnd"/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Dasar dan Kimia</w:t>
            </w:r>
          </w:p>
        </w:tc>
      </w:tr>
      <w:tr w:rsidR="00056369" w:rsidRPr="002F48B1" w14:paraId="64A8BD21" w14:textId="77777777" w:rsidTr="00A42BA6">
        <w:tc>
          <w:tcPr>
            <w:tcW w:w="519" w:type="pct"/>
            <w:vAlign w:val="center"/>
          </w:tcPr>
          <w:p w14:paraId="082E19A2" w14:textId="6330FE64" w:rsidR="00056369" w:rsidRPr="002F48B1" w:rsidRDefault="00056369" w:rsidP="00CC0D6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380" w:type="pct"/>
          </w:tcPr>
          <w:p w14:paraId="6A4D2FD0" w14:textId="372B721D" w:rsidR="00056369" w:rsidRPr="002F48B1" w:rsidRDefault="00056369" w:rsidP="00CC0D6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Subsektor</w:t>
            </w:r>
            <w:proofErr w:type="spellEnd"/>
          </w:p>
        </w:tc>
        <w:tc>
          <w:tcPr>
            <w:tcW w:w="685" w:type="pct"/>
            <w:vAlign w:val="center"/>
          </w:tcPr>
          <w:p w14:paraId="0BBCB041" w14:textId="05AD7424" w:rsidR="00056369" w:rsidRPr="002F48B1" w:rsidRDefault="00056369" w:rsidP="00CC0D6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Kode</w:t>
            </w:r>
          </w:p>
        </w:tc>
        <w:tc>
          <w:tcPr>
            <w:tcW w:w="2417" w:type="pct"/>
            <w:vAlign w:val="center"/>
          </w:tcPr>
          <w:p w14:paraId="1B3BEABB" w14:textId="45C43970" w:rsidR="00056369" w:rsidRPr="002F48B1" w:rsidRDefault="00056369" w:rsidP="00CC0D6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F48B1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</w:tr>
      <w:tr w:rsidR="00056369" w14:paraId="38EFE6F5" w14:textId="77777777" w:rsidTr="00A42BA6">
        <w:tc>
          <w:tcPr>
            <w:tcW w:w="519" w:type="pct"/>
          </w:tcPr>
          <w:p w14:paraId="124A842C" w14:textId="6776BA29" w:rsidR="00056369" w:rsidRPr="002F48B1" w:rsidRDefault="00056369" w:rsidP="002F4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380" w:type="pct"/>
            <w:vMerge w:val="restart"/>
          </w:tcPr>
          <w:p w14:paraId="0B5D9CF5" w14:textId="2CB50BE9" w:rsidR="00056369" w:rsidRPr="002F48B1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Keramik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Kaca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Porselen</w:t>
            </w:r>
            <w:proofErr w:type="spellEnd"/>
          </w:p>
        </w:tc>
        <w:tc>
          <w:tcPr>
            <w:tcW w:w="685" w:type="pct"/>
          </w:tcPr>
          <w:p w14:paraId="7ED3FCBE" w14:textId="2E303B3F" w:rsidR="00056369" w:rsidRPr="002F48B1" w:rsidRDefault="00056369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AMFG</w:t>
            </w:r>
          </w:p>
        </w:tc>
        <w:tc>
          <w:tcPr>
            <w:tcW w:w="2417" w:type="pct"/>
          </w:tcPr>
          <w:p w14:paraId="2593FA23" w14:textId="63BB28CA" w:rsidR="00056369" w:rsidRPr="002F48B1" w:rsidRDefault="00056369" w:rsidP="002F48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Asahimas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Flat Glass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010FD0C0" w14:textId="77777777" w:rsidTr="00A42BA6">
        <w:tc>
          <w:tcPr>
            <w:tcW w:w="519" w:type="pct"/>
          </w:tcPr>
          <w:p w14:paraId="2974EC56" w14:textId="50D09D8C" w:rsidR="00056369" w:rsidRPr="002F48B1" w:rsidRDefault="00056369" w:rsidP="002F48B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380" w:type="pct"/>
            <w:vMerge/>
          </w:tcPr>
          <w:p w14:paraId="3EB0DBE6" w14:textId="77777777" w:rsidR="00056369" w:rsidRPr="002F48B1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2B0FD6F5" w14:textId="215B17E8" w:rsidR="00056369" w:rsidRPr="002F48B1" w:rsidRDefault="00056369" w:rsidP="00A25D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KIAS</w:t>
            </w:r>
          </w:p>
        </w:tc>
        <w:tc>
          <w:tcPr>
            <w:tcW w:w="2417" w:type="pct"/>
          </w:tcPr>
          <w:p w14:paraId="19B648B4" w14:textId="4407D83B" w:rsidR="00056369" w:rsidRPr="002F48B1" w:rsidRDefault="00056369" w:rsidP="002F48B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Keramika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Indonesia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Assosiasi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3D490E03" w14:textId="77777777" w:rsidTr="00A42BA6">
        <w:tc>
          <w:tcPr>
            <w:tcW w:w="519" w:type="pct"/>
          </w:tcPr>
          <w:p w14:paraId="64EED4B9" w14:textId="65E6CD08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380" w:type="pct"/>
          </w:tcPr>
          <w:p w14:paraId="308FB7DB" w14:textId="6B5A303D" w:rsidR="00056369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Kimia</w:t>
            </w:r>
          </w:p>
        </w:tc>
        <w:tc>
          <w:tcPr>
            <w:tcW w:w="685" w:type="pct"/>
          </w:tcPr>
          <w:p w14:paraId="3963B099" w14:textId="21F0DE5F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ADMG</w:t>
            </w:r>
          </w:p>
        </w:tc>
        <w:tc>
          <w:tcPr>
            <w:tcW w:w="2417" w:type="pct"/>
          </w:tcPr>
          <w:p w14:paraId="407AACEE" w14:textId="038915AD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7205A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Polychem</w:t>
            </w:r>
            <w:proofErr w:type="spellEnd"/>
            <w:r w:rsidRPr="0037205A">
              <w:rPr>
                <w:rFonts w:ascii="Times New Roman" w:hAnsi="Times New Roman" w:cs="Times New Roman"/>
                <w:lang w:val="en-US"/>
              </w:rPr>
              <w:t xml:space="preserve"> Indonesia </w:t>
            </w:r>
            <w:proofErr w:type="spellStart"/>
            <w:r w:rsidRPr="0037205A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25AFB64E" w14:textId="77777777" w:rsidTr="00A42BA6">
        <w:tc>
          <w:tcPr>
            <w:tcW w:w="519" w:type="pct"/>
          </w:tcPr>
          <w:p w14:paraId="34705B1E" w14:textId="62702CEE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380" w:type="pct"/>
            <w:vMerge w:val="restart"/>
          </w:tcPr>
          <w:p w14:paraId="0563101A" w14:textId="29EF4EBE" w:rsidR="00056369" w:rsidRPr="002F48B1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Produk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Logam</w:t>
            </w:r>
            <w:proofErr w:type="spellEnd"/>
            <w:r w:rsidRPr="002F48B1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2F48B1">
              <w:rPr>
                <w:rFonts w:ascii="Times New Roman" w:hAnsi="Times New Roman" w:cs="Times New Roman"/>
                <w:lang w:val="en-US"/>
              </w:rPr>
              <w:t>Sejenisnya</w:t>
            </w:r>
            <w:proofErr w:type="spellEnd"/>
          </w:p>
        </w:tc>
        <w:tc>
          <w:tcPr>
            <w:tcW w:w="685" w:type="pct"/>
          </w:tcPr>
          <w:p w14:paraId="6057F7F2" w14:textId="148D2221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KRAS</w:t>
            </w:r>
          </w:p>
        </w:tc>
        <w:tc>
          <w:tcPr>
            <w:tcW w:w="2417" w:type="pct"/>
          </w:tcPr>
          <w:p w14:paraId="29CFD874" w14:textId="11E8C6BE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Krakatau Steel (Persero)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714A569C" w14:textId="77777777" w:rsidTr="00A42BA6">
        <w:tc>
          <w:tcPr>
            <w:tcW w:w="519" w:type="pct"/>
          </w:tcPr>
          <w:p w14:paraId="0734979D" w14:textId="21F24CB4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380" w:type="pct"/>
            <w:vMerge/>
          </w:tcPr>
          <w:p w14:paraId="3502D009" w14:textId="77777777" w:rsidR="00056369" w:rsidRPr="002F48B1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1D2E027A" w14:textId="446D6D31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GDST</w:t>
            </w:r>
          </w:p>
        </w:tc>
        <w:tc>
          <w:tcPr>
            <w:tcW w:w="2417" w:type="pct"/>
          </w:tcPr>
          <w:p w14:paraId="0921D08D" w14:textId="09C9662F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Gunawan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Dianjaya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Steel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0FE7355D" w14:textId="77777777" w:rsidTr="00A42BA6">
        <w:tc>
          <w:tcPr>
            <w:tcW w:w="519" w:type="pct"/>
          </w:tcPr>
          <w:p w14:paraId="7BE1DD50" w14:textId="19709EB6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1380" w:type="pct"/>
            <w:vMerge/>
          </w:tcPr>
          <w:p w14:paraId="6CCA83C4" w14:textId="77777777" w:rsidR="00056369" w:rsidRPr="002F48B1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215820B7" w14:textId="47F3BDF0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CTBN</w:t>
            </w:r>
          </w:p>
        </w:tc>
        <w:tc>
          <w:tcPr>
            <w:tcW w:w="2417" w:type="pct"/>
          </w:tcPr>
          <w:p w14:paraId="4CEBDF6D" w14:textId="4958838D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r w:rsidRPr="001E52D6">
              <w:rPr>
                <w:rFonts w:ascii="Times New Roman" w:hAnsi="Times New Roman" w:cs="Times New Roman"/>
                <w:lang w:val="en-US"/>
              </w:rPr>
              <w:t xml:space="preserve">Citra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Tubindo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17DB3899" w14:textId="77777777" w:rsidTr="00A42BA6">
        <w:tc>
          <w:tcPr>
            <w:tcW w:w="519" w:type="pct"/>
          </w:tcPr>
          <w:p w14:paraId="0D64110B" w14:textId="697A2753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1380" w:type="pct"/>
            <w:vMerge/>
          </w:tcPr>
          <w:p w14:paraId="6AE04D27" w14:textId="77777777" w:rsidR="00056369" w:rsidRPr="002F48B1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1F24180C" w14:textId="302DDF67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ALMI</w:t>
            </w:r>
          </w:p>
        </w:tc>
        <w:tc>
          <w:tcPr>
            <w:tcW w:w="2417" w:type="pct"/>
          </w:tcPr>
          <w:p w14:paraId="46BB3B35" w14:textId="07911D80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Alumindo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Light Metal Industry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7C9FD6E9" w14:textId="77777777" w:rsidTr="00A42BA6">
        <w:tc>
          <w:tcPr>
            <w:tcW w:w="519" w:type="pct"/>
          </w:tcPr>
          <w:p w14:paraId="250B31B9" w14:textId="5224A9CF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1380" w:type="pct"/>
            <w:vMerge/>
          </w:tcPr>
          <w:p w14:paraId="32C81D88" w14:textId="77777777" w:rsidR="00056369" w:rsidRPr="002F48B1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5E4D2318" w14:textId="39FCD019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BAJA</w:t>
            </w:r>
          </w:p>
        </w:tc>
        <w:tc>
          <w:tcPr>
            <w:tcW w:w="2417" w:type="pct"/>
          </w:tcPr>
          <w:p w14:paraId="50483180" w14:textId="5201DF4A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Saranacentral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Bajatama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7111F8D5" w14:textId="77777777" w:rsidTr="00A42BA6">
        <w:tc>
          <w:tcPr>
            <w:tcW w:w="519" w:type="pct"/>
          </w:tcPr>
          <w:p w14:paraId="6549ECE7" w14:textId="23DCA2D9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1380" w:type="pct"/>
            <w:vMerge/>
          </w:tcPr>
          <w:p w14:paraId="25780ACB" w14:textId="77777777" w:rsidR="00056369" w:rsidRPr="002F48B1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29D227CA" w14:textId="4221CB10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F48B1">
              <w:rPr>
                <w:rFonts w:ascii="Times New Roman" w:hAnsi="Times New Roman" w:cs="Times New Roman"/>
                <w:lang w:val="en-US"/>
              </w:rPr>
              <w:t>LSMH</w:t>
            </w:r>
          </w:p>
        </w:tc>
        <w:tc>
          <w:tcPr>
            <w:tcW w:w="2417" w:type="pct"/>
          </w:tcPr>
          <w:p w14:paraId="7E4D285A" w14:textId="0137059B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52D6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Lionmesh</w:t>
            </w:r>
            <w:proofErr w:type="spellEnd"/>
            <w:r w:rsidRPr="001E52D6">
              <w:rPr>
                <w:rFonts w:ascii="Times New Roman" w:hAnsi="Times New Roman" w:cs="Times New Roman"/>
                <w:lang w:val="en-US"/>
              </w:rPr>
              <w:t xml:space="preserve"> Prima </w:t>
            </w:r>
            <w:proofErr w:type="spellStart"/>
            <w:r w:rsidRPr="001E52D6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02A190DF" w14:textId="77777777" w:rsidTr="00A42BA6">
        <w:tc>
          <w:tcPr>
            <w:tcW w:w="519" w:type="pct"/>
          </w:tcPr>
          <w:p w14:paraId="374F7484" w14:textId="201D53A6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1380" w:type="pct"/>
            <w:vMerge w:val="restart"/>
          </w:tcPr>
          <w:p w14:paraId="6234CB48" w14:textId="0C0EDB4D" w:rsidR="00056369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Kemasan</w:t>
            </w:r>
            <w:proofErr w:type="spellEnd"/>
          </w:p>
        </w:tc>
        <w:tc>
          <w:tcPr>
            <w:tcW w:w="685" w:type="pct"/>
          </w:tcPr>
          <w:p w14:paraId="093550F1" w14:textId="0942C965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BRNA</w:t>
            </w:r>
          </w:p>
        </w:tc>
        <w:tc>
          <w:tcPr>
            <w:tcW w:w="2417" w:type="pct"/>
          </w:tcPr>
          <w:p w14:paraId="5D6EE705" w14:textId="4C7A8A74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Berlina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1FC92B26" w14:textId="77777777" w:rsidTr="00A42BA6">
        <w:tc>
          <w:tcPr>
            <w:tcW w:w="519" w:type="pct"/>
          </w:tcPr>
          <w:p w14:paraId="6CB6ED16" w14:textId="5B0C417C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1380" w:type="pct"/>
            <w:vMerge/>
          </w:tcPr>
          <w:p w14:paraId="00E8AFD2" w14:textId="77777777" w:rsidR="00056369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40B26113" w14:textId="1E676DB6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FPNI</w:t>
            </w:r>
          </w:p>
        </w:tc>
        <w:tc>
          <w:tcPr>
            <w:tcW w:w="2417" w:type="pct"/>
          </w:tcPr>
          <w:p w14:paraId="1642E7F4" w14:textId="7489EFC3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Lotte Chemical Titan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1B6F8219" w14:textId="77777777" w:rsidTr="00A42BA6">
        <w:tc>
          <w:tcPr>
            <w:tcW w:w="519" w:type="pct"/>
          </w:tcPr>
          <w:p w14:paraId="7108A1DF" w14:textId="282DADC4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1380" w:type="pct"/>
            <w:vMerge/>
          </w:tcPr>
          <w:p w14:paraId="17572F95" w14:textId="77777777" w:rsidR="00056369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0644496F" w14:textId="79ADB073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YPAS</w:t>
            </w:r>
          </w:p>
        </w:tc>
        <w:tc>
          <w:tcPr>
            <w:tcW w:w="2417" w:type="pct"/>
          </w:tcPr>
          <w:p w14:paraId="04C1D75B" w14:textId="61007237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Yanaprima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Hastapersada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6F0E70F2" w14:textId="77777777" w:rsidTr="00A42BA6">
        <w:tc>
          <w:tcPr>
            <w:tcW w:w="519" w:type="pct"/>
          </w:tcPr>
          <w:p w14:paraId="4476BAFD" w14:textId="14AAB8FB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1380" w:type="pct"/>
            <w:vMerge w:val="restart"/>
          </w:tcPr>
          <w:p w14:paraId="6AF4CAA7" w14:textId="08103942" w:rsidR="00056369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Kayu</w:t>
            </w:r>
          </w:p>
        </w:tc>
        <w:tc>
          <w:tcPr>
            <w:tcW w:w="685" w:type="pct"/>
          </w:tcPr>
          <w:p w14:paraId="19F04BF0" w14:textId="06C91344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SULI</w:t>
            </w:r>
          </w:p>
        </w:tc>
        <w:tc>
          <w:tcPr>
            <w:tcW w:w="2417" w:type="pct"/>
          </w:tcPr>
          <w:p w14:paraId="329DE95D" w14:textId="1A5A9EE7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SLJ Global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7BFF68DD" w14:textId="77777777" w:rsidTr="00A42BA6">
        <w:tc>
          <w:tcPr>
            <w:tcW w:w="519" w:type="pct"/>
          </w:tcPr>
          <w:p w14:paraId="2561F22E" w14:textId="01C7DAB5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1380" w:type="pct"/>
            <w:vMerge/>
          </w:tcPr>
          <w:p w14:paraId="036E24D6" w14:textId="77777777" w:rsidR="00056369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85" w:type="pct"/>
          </w:tcPr>
          <w:p w14:paraId="399493CC" w14:textId="4C0F564A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TIRT</w:t>
            </w:r>
          </w:p>
        </w:tc>
        <w:tc>
          <w:tcPr>
            <w:tcW w:w="2417" w:type="pct"/>
          </w:tcPr>
          <w:p w14:paraId="13F6BEB9" w14:textId="226A0C71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D7678">
              <w:rPr>
                <w:rFonts w:ascii="Times New Roman" w:hAnsi="Times New Roman" w:cs="Times New Roman"/>
                <w:lang w:val="en-US"/>
              </w:rPr>
              <w:t xml:space="preserve">PT.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Tirta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Mahakam Resources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  <w:tr w:rsidR="00056369" w14:paraId="3F4C46C5" w14:textId="77777777" w:rsidTr="00A42BA6">
        <w:tc>
          <w:tcPr>
            <w:tcW w:w="519" w:type="pct"/>
          </w:tcPr>
          <w:p w14:paraId="68E0EE78" w14:textId="78348BB1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1380" w:type="pct"/>
          </w:tcPr>
          <w:p w14:paraId="7C8E378F" w14:textId="2AE83390" w:rsidR="00056369" w:rsidRDefault="00056369" w:rsidP="0005636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Lain-lain</w:t>
            </w:r>
          </w:p>
        </w:tc>
        <w:tc>
          <w:tcPr>
            <w:tcW w:w="685" w:type="pct"/>
          </w:tcPr>
          <w:p w14:paraId="18295CBE" w14:textId="3387D1F3" w:rsidR="00056369" w:rsidRPr="002F48B1" w:rsidRDefault="00056369" w:rsidP="000563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INCF</w:t>
            </w:r>
          </w:p>
        </w:tc>
        <w:tc>
          <w:tcPr>
            <w:tcW w:w="2417" w:type="pct"/>
          </w:tcPr>
          <w:p w14:paraId="05D7B520" w14:textId="585DB530" w:rsidR="00056369" w:rsidRPr="002F48B1" w:rsidRDefault="00056369" w:rsidP="000563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PT. </w:t>
            </w:r>
            <w:r w:rsidRPr="004D7678">
              <w:rPr>
                <w:rFonts w:ascii="Times New Roman" w:hAnsi="Times New Roman" w:cs="Times New Roman"/>
                <w:lang w:val="en-US"/>
              </w:rPr>
              <w:t xml:space="preserve">Indo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Komoditi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Korpora</w:t>
            </w:r>
            <w:proofErr w:type="spellEnd"/>
            <w:r w:rsidRPr="004D767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D7678">
              <w:rPr>
                <w:rFonts w:ascii="Times New Roman" w:hAnsi="Times New Roman" w:cs="Times New Roman"/>
                <w:lang w:val="en-US"/>
              </w:rPr>
              <w:t>Tbk</w:t>
            </w:r>
            <w:proofErr w:type="spellEnd"/>
          </w:p>
        </w:tc>
      </w:tr>
    </w:tbl>
    <w:p w14:paraId="42EC4CEE" w14:textId="32CA383E" w:rsidR="002F48B1" w:rsidRPr="00B66D0D" w:rsidRDefault="00BD7916" w:rsidP="002447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5604CDCB" w14:textId="55B1FE0B" w:rsidR="00575FDB" w:rsidRDefault="00E71628" w:rsidP="00986B09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Gambaran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Umum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Penelitian</w:t>
      </w:r>
      <w:proofErr w:type="spellEnd"/>
    </w:p>
    <w:p w14:paraId="286BDE43" w14:textId="5586B4A9" w:rsidR="009214CB" w:rsidRPr="009214CB" w:rsidRDefault="009214CB" w:rsidP="00986B09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14C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921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14C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21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2160FC" w14:textId="1156992F" w:rsidR="00466531" w:rsidRPr="00BF10F4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Hasil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Penelitian</w:t>
      </w:r>
      <w:proofErr w:type="spellEnd"/>
    </w:p>
    <w:p w14:paraId="4265011F" w14:textId="4CB89C0A" w:rsidR="00466531" w:rsidRPr="00BF10F4" w:rsidRDefault="00466531" w:rsidP="00986B09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Analisis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Deskriptif</w:t>
      </w:r>
      <w:proofErr w:type="spellEnd"/>
    </w:p>
    <w:p w14:paraId="45D6FE9D" w14:textId="300B62E8" w:rsidR="00071E02" w:rsidRDefault="00394629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462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rata-rata (</w:t>
      </w:r>
      <w:r w:rsidRPr="00394629">
        <w:rPr>
          <w:rFonts w:ascii="Times New Roman" w:hAnsi="Times New Roman" w:cs="Times New Roman"/>
          <w:i/>
          <w:sz w:val="24"/>
          <w:szCs w:val="24"/>
        </w:rPr>
        <w:t>mean</w:t>
      </w:r>
      <w:r w:rsidRPr="0039462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394629">
        <w:rPr>
          <w:rFonts w:ascii="Times New Roman" w:hAnsi="Times New Roman" w:cs="Times New Roman"/>
          <w:sz w:val="24"/>
          <w:szCs w:val="24"/>
        </w:rPr>
        <w:t xml:space="preserve"> (</w:t>
      </w:r>
      <w:r w:rsidRPr="00394629">
        <w:rPr>
          <w:rFonts w:ascii="Times New Roman" w:hAnsi="Times New Roman" w:cs="Times New Roman"/>
          <w:i/>
          <w:sz w:val="24"/>
          <w:szCs w:val="24"/>
        </w:rPr>
        <w:t>standard deviation</w:t>
      </w:r>
      <w:r w:rsidRPr="0039462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629">
        <w:rPr>
          <w:rFonts w:ascii="Times New Roman" w:hAnsi="Times New Roman" w:cs="Times New Roman"/>
          <w:sz w:val="24"/>
          <w:szCs w:val="24"/>
        </w:rPr>
        <w:t>maksimu</w:t>
      </w:r>
      <w:r w:rsidR="00725C70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25C7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C70">
        <w:rPr>
          <w:rFonts w:ascii="Times New Roman" w:hAnsi="Times New Roman" w:cs="Times New Roman"/>
          <w:sz w:val="24"/>
          <w:szCs w:val="24"/>
        </w:rPr>
        <w:t xml:space="preserve"> </w:t>
      </w:r>
      <w:r w:rsidRPr="00394629">
        <w:rPr>
          <w:rFonts w:ascii="Times New Roman" w:hAnsi="Times New Roman" w:cs="Times New Roman"/>
          <w:sz w:val="24"/>
          <w:szCs w:val="24"/>
        </w:rPr>
        <w:t>minimum.</w:t>
      </w:r>
    </w:p>
    <w:p w14:paraId="4524B908" w14:textId="26D96205" w:rsidR="00112D45" w:rsidRPr="00112D45" w:rsidRDefault="00112D45" w:rsidP="00112D45">
      <w:pPr>
        <w:spacing w:line="240" w:lineRule="auto"/>
        <w:ind w:left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2D45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112D45">
        <w:rPr>
          <w:rFonts w:ascii="Times New Roman" w:hAnsi="Times New Roman" w:cs="Times New Roman"/>
          <w:b/>
          <w:bCs/>
          <w:sz w:val="24"/>
          <w:szCs w:val="24"/>
        </w:rPr>
        <w:t xml:space="preserve"> IV.3 Hasil </w:t>
      </w:r>
      <w:proofErr w:type="spellStart"/>
      <w:r w:rsidRPr="00112D45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Pr="00112D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D45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3"/>
        <w:gridCol w:w="396"/>
        <w:gridCol w:w="1165"/>
        <w:gridCol w:w="1208"/>
        <w:gridCol w:w="972"/>
        <w:gridCol w:w="1618"/>
      </w:tblGrid>
      <w:tr w:rsidR="00870FF2" w:rsidRPr="00870FF2" w14:paraId="6F6E8BBE" w14:textId="77777777" w:rsidTr="00986B09">
        <w:trPr>
          <w:cantSplit/>
        </w:trPr>
        <w:tc>
          <w:tcPr>
            <w:tcW w:w="5000" w:type="pct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3F2A9F2" w14:textId="204B3B5B" w:rsidR="00071E02" w:rsidRPr="00870FF2" w:rsidRDefault="00AA180C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b/>
                <w:bCs/>
                <w:lang w:val="en-US"/>
              </w:rPr>
              <w:t>Des</w:t>
            </w:r>
            <w:r w:rsidR="001447E6" w:rsidRPr="00870FF2">
              <w:rPr>
                <w:rFonts w:ascii="Times New Romana" w:hAnsi="Times New Romana" w:cs="Arial"/>
                <w:b/>
                <w:bCs/>
                <w:lang w:val="en-US"/>
              </w:rPr>
              <w:t>c</w:t>
            </w:r>
            <w:r w:rsidRPr="00870FF2">
              <w:rPr>
                <w:rFonts w:ascii="Times New Romana" w:hAnsi="Times New Romana" w:cs="Arial"/>
                <w:b/>
                <w:bCs/>
                <w:lang w:val="en-US"/>
              </w:rPr>
              <w:t>ripti</w:t>
            </w:r>
            <w:r w:rsidR="001447E6" w:rsidRPr="00870FF2">
              <w:rPr>
                <w:rFonts w:ascii="Times New Romana" w:hAnsi="Times New Romana" w:cs="Arial"/>
                <w:b/>
                <w:bCs/>
                <w:lang w:val="en-US"/>
              </w:rPr>
              <w:t>ve Statistic</w:t>
            </w:r>
          </w:p>
        </w:tc>
      </w:tr>
      <w:tr w:rsidR="00870FF2" w:rsidRPr="00870FF2" w14:paraId="2BED3279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EF3E843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E225670" w14:textId="77777777" w:rsidR="00071E02" w:rsidRPr="00870FF2" w:rsidRDefault="00071E02" w:rsidP="00206BD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N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65AE985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Minimum</w:t>
            </w: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8BD5D45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Maximum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3B0049E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Mean</w:t>
            </w: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2AE1876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Std. Deviation</w:t>
            </w:r>
          </w:p>
        </w:tc>
      </w:tr>
      <w:tr w:rsidR="00870FF2" w:rsidRPr="00870FF2" w14:paraId="421DEA1B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</w:tcPr>
          <w:p w14:paraId="45B609FF" w14:textId="3AC5BE1D" w:rsidR="00071E02" w:rsidRPr="00870FF2" w:rsidRDefault="00DE40F8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i/>
                <w:iCs/>
                <w:lang w:val="en-US"/>
              </w:rPr>
              <w:t>return on equity</w:t>
            </w:r>
            <w:r w:rsidRPr="00870FF2">
              <w:rPr>
                <w:rFonts w:ascii="Times New Romana" w:hAnsi="Times New Romana" w:cs="Arial"/>
                <w:lang w:val="en-US"/>
              </w:rPr>
              <w:t xml:space="preserve"> (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ROE</w:t>
            </w:r>
            <w:r w:rsidRPr="00870FF2">
              <w:rPr>
                <w:rFonts w:ascii="Times New Romana" w:hAnsi="Times New Romana" w:cs="Arial"/>
                <w:lang w:val="en-US"/>
              </w:rPr>
              <w:t>)</w:t>
            </w: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</w:tcPr>
          <w:p w14:paraId="73AA64C2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90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</w:tcPr>
          <w:p w14:paraId="6AE8609B" w14:textId="38D998AF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-136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44</w:t>
            </w: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</w:tcPr>
          <w:p w14:paraId="6FCF1D81" w14:textId="36824DE9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1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55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</w:tcPr>
          <w:p w14:paraId="77ABE029" w14:textId="427FA434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-1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5530</w:t>
            </w: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</w:tcPr>
          <w:p w14:paraId="17C3804E" w14:textId="78EDAFF8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14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38460</w:t>
            </w:r>
          </w:p>
        </w:tc>
      </w:tr>
      <w:tr w:rsidR="00870FF2" w:rsidRPr="00870FF2" w14:paraId="58D5CB15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</w:tcPr>
          <w:p w14:paraId="10AAE960" w14:textId="704FEE74" w:rsidR="00071E02" w:rsidRPr="00870FF2" w:rsidRDefault="00DE40F8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i/>
                <w:iCs/>
                <w:lang w:val="en-US"/>
              </w:rPr>
              <w:t>quick ratio</w:t>
            </w:r>
            <w:r w:rsidRPr="00870FF2">
              <w:rPr>
                <w:rFonts w:ascii="Times New Romana" w:hAnsi="Times New Romana" w:cs="Arial"/>
                <w:lang w:val="en-US"/>
              </w:rPr>
              <w:t xml:space="preserve"> (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QR</w:t>
            </w:r>
            <w:r w:rsidRPr="00870FF2">
              <w:rPr>
                <w:rFonts w:ascii="Times New Romana" w:hAnsi="Times New Romana" w:cs="Arial"/>
                <w:lang w:val="en-US"/>
              </w:rPr>
              <w:t>)</w:t>
            </w: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</w:tcPr>
          <w:p w14:paraId="07C7BA01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90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</w:tcPr>
          <w:p w14:paraId="14377FB3" w14:textId="3EA826D6" w:rsidR="00071E02" w:rsidRPr="00870FF2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0,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07</w:t>
            </w: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</w:tcPr>
          <w:p w14:paraId="302AA682" w14:textId="01327855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3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46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</w:tcPr>
          <w:p w14:paraId="6F4290B5" w14:textId="1998EED4" w:rsidR="00071E02" w:rsidRPr="00870FF2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0,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8613</w:t>
            </w: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</w:tcPr>
          <w:p w14:paraId="67B65488" w14:textId="7EC736BB" w:rsidR="00071E02" w:rsidRPr="00870FF2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0,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73063</w:t>
            </w:r>
          </w:p>
        </w:tc>
      </w:tr>
      <w:tr w:rsidR="00870FF2" w:rsidRPr="00870FF2" w14:paraId="23AA086D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</w:tcPr>
          <w:p w14:paraId="1CDCD121" w14:textId="39814C4C" w:rsidR="00071E02" w:rsidRPr="00870FF2" w:rsidRDefault="00DE40F8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i/>
                <w:iCs/>
                <w:lang w:val="en-US"/>
              </w:rPr>
              <w:lastRenderedPageBreak/>
              <w:t>debt to equity ratio</w:t>
            </w:r>
            <w:r w:rsidRPr="00870FF2">
              <w:rPr>
                <w:rFonts w:ascii="Times New Romana" w:hAnsi="Times New Romana" w:cs="Arial"/>
                <w:lang w:val="en-US"/>
              </w:rPr>
              <w:t xml:space="preserve"> (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DER</w:t>
            </w:r>
            <w:r w:rsidRPr="00870FF2">
              <w:rPr>
                <w:rFonts w:ascii="Times New Romana" w:hAnsi="Times New Romana" w:cs="Arial"/>
                <w:lang w:val="en-US"/>
              </w:rPr>
              <w:t>)</w:t>
            </w: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</w:tcPr>
          <w:p w14:paraId="5E4F9310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90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</w:tcPr>
          <w:p w14:paraId="2DC9AFDE" w14:textId="55DD55A0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-7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18</w:t>
            </w: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</w:tcPr>
          <w:p w14:paraId="2D6CB66F" w14:textId="73926F5A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786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93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</w:tcPr>
          <w:p w14:paraId="3E9F918C" w14:textId="292D6EEF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11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9244</w:t>
            </w: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</w:tcPr>
          <w:p w14:paraId="0A9F7DCE" w14:textId="017D2972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83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31041</w:t>
            </w:r>
          </w:p>
        </w:tc>
      </w:tr>
      <w:tr w:rsidR="00870FF2" w:rsidRPr="00870FF2" w14:paraId="5FB3844B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</w:tcPr>
          <w:p w14:paraId="4D12071A" w14:textId="6F9EA436" w:rsidR="00071E02" w:rsidRPr="00870FF2" w:rsidRDefault="00CE1B64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lang w:val="en-US"/>
              </w:rPr>
            </w:pPr>
            <w:proofErr w:type="spellStart"/>
            <w:r w:rsidRPr="00870FF2">
              <w:rPr>
                <w:rFonts w:ascii="Times New Romana" w:hAnsi="Times New Romana" w:cs="Arial"/>
                <w:lang w:val="en-US"/>
              </w:rPr>
              <w:t>indeks</w:t>
            </w:r>
            <w:proofErr w:type="spellEnd"/>
            <w:r w:rsidRPr="00870FF2">
              <w:rPr>
                <w:rFonts w:ascii="Times New Romana" w:hAnsi="Times New Romana" w:cs="Arial"/>
                <w:lang w:val="en-US"/>
              </w:rPr>
              <w:t xml:space="preserve"> </w:t>
            </w:r>
            <w:r w:rsidRPr="00870FF2">
              <w:rPr>
                <w:rFonts w:ascii="Times New Romana" w:hAnsi="Times New Romana" w:cs="Arial"/>
                <w:i/>
                <w:iCs/>
                <w:lang w:val="en-US"/>
              </w:rPr>
              <w:t>financial distress</w:t>
            </w:r>
            <w:r w:rsidRPr="00870FF2">
              <w:rPr>
                <w:rFonts w:ascii="Times New Romana" w:hAnsi="Times New Romana" w:cs="Arial"/>
                <w:lang w:val="en-US"/>
              </w:rPr>
              <w:t xml:space="preserve"> (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ZSCORE1</w:t>
            </w:r>
            <w:r w:rsidRPr="00870FF2">
              <w:rPr>
                <w:rFonts w:ascii="Times New Romana" w:hAnsi="Times New Romana" w:cs="Arial"/>
                <w:lang w:val="en-US"/>
              </w:rPr>
              <w:t>)</w:t>
            </w: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</w:tcPr>
          <w:p w14:paraId="47A7518D" w14:textId="77777777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79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</w:tcPr>
          <w:p w14:paraId="78F077A5" w14:textId="3066CB9F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-4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51</w:t>
            </w: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</w:tcPr>
          <w:p w14:paraId="3C2AE496" w14:textId="0BBC9C72" w:rsidR="00071E02" w:rsidRPr="00870FF2" w:rsidRDefault="00071E02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1</w:t>
            </w:r>
            <w:r w:rsidR="00FE5429" w:rsidRPr="00870FF2">
              <w:rPr>
                <w:rFonts w:ascii="Times New Romana" w:hAnsi="Times New Romana" w:cs="Arial"/>
                <w:lang w:val="en-US"/>
              </w:rPr>
              <w:t>,</w:t>
            </w:r>
            <w:r w:rsidRPr="00870FF2">
              <w:rPr>
                <w:rFonts w:ascii="Times New Romana" w:hAnsi="Times New Romana" w:cs="Arial"/>
                <w:lang w:val="en-US"/>
              </w:rPr>
              <w:t>79</w:t>
            </w: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</w:tcPr>
          <w:p w14:paraId="54901AD8" w14:textId="67062C35" w:rsidR="00071E02" w:rsidRPr="00870FF2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0,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4453</w:t>
            </w: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</w:tcPr>
          <w:p w14:paraId="3762ADD5" w14:textId="36501921" w:rsidR="00071E02" w:rsidRPr="00870FF2" w:rsidRDefault="00FE5429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0,</w:t>
            </w:r>
            <w:r w:rsidR="00071E02" w:rsidRPr="00870FF2">
              <w:rPr>
                <w:rFonts w:ascii="Times New Romana" w:hAnsi="Times New Romana" w:cs="Arial"/>
                <w:lang w:val="en-US"/>
              </w:rPr>
              <w:t>95750</w:t>
            </w:r>
          </w:p>
        </w:tc>
      </w:tr>
      <w:tr w:rsidR="00870FF2" w:rsidRPr="00870FF2" w14:paraId="424FB89B" w14:textId="77777777" w:rsidTr="00986B09">
        <w:trPr>
          <w:cantSplit/>
        </w:trPr>
        <w:tc>
          <w:tcPr>
            <w:tcW w:w="2129" w:type="pct"/>
            <w:tcBorders>
              <w:left w:val="nil"/>
              <w:right w:val="nil"/>
            </w:tcBorders>
            <w:shd w:val="clear" w:color="auto" w:fill="auto"/>
          </w:tcPr>
          <w:p w14:paraId="04E708C4" w14:textId="77777777" w:rsidR="00AA180C" w:rsidRPr="00870FF2" w:rsidRDefault="00AA180C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Valid N (listwise)</w:t>
            </w:r>
          </w:p>
        </w:tc>
        <w:tc>
          <w:tcPr>
            <w:tcW w:w="212" w:type="pct"/>
            <w:tcBorders>
              <w:left w:val="nil"/>
              <w:right w:val="nil"/>
            </w:tcBorders>
            <w:shd w:val="clear" w:color="auto" w:fill="auto"/>
          </w:tcPr>
          <w:p w14:paraId="2E4800AD" w14:textId="77777777" w:rsidR="00AA180C" w:rsidRPr="00870FF2" w:rsidRDefault="00AA180C" w:rsidP="008A68B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a" w:hAnsi="Times New Romana" w:cs="Arial"/>
                <w:lang w:val="en-US"/>
              </w:rPr>
            </w:pPr>
            <w:r w:rsidRPr="00870FF2">
              <w:rPr>
                <w:rFonts w:ascii="Times New Romana" w:hAnsi="Times New Romana" w:cs="Arial"/>
                <w:lang w:val="en-US"/>
              </w:rPr>
              <w:t>79</w:t>
            </w:r>
          </w:p>
        </w:tc>
        <w:tc>
          <w:tcPr>
            <w:tcW w:w="62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340349" w14:textId="77777777" w:rsidR="00AA180C" w:rsidRPr="00870FF2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647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6EC2CA" w14:textId="77777777" w:rsidR="00AA180C" w:rsidRPr="00870FF2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52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338CDD" w14:textId="77777777" w:rsidR="00AA180C" w:rsidRPr="00870FF2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  <w:tc>
          <w:tcPr>
            <w:tcW w:w="868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F74645" w14:textId="4C77ACFB" w:rsidR="00AA180C" w:rsidRPr="00870FF2" w:rsidRDefault="00AA180C" w:rsidP="008A68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a" w:hAnsi="Times New Romana" w:cs="Times New Roman"/>
                <w:lang w:val="en-US"/>
              </w:rPr>
            </w:pPr>
          </w:p>
        </w:tc>
      </w:tr>
    </w:tbl>
    <w:p w14:paraId="614717E7" w14:textId="7040C17C" w:rsidR="00394629" w:rsidRDefault="00177652" w:rsidP="00986B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>, 2022</w:t>
      </w:r>
    </w:p>
    <w:p w14:paraId="1F98F22A" w14:textId="77777777" w:rsidR="00986B09" w:rsidRDefault="00DE40F8" w:rsidP="00986B09">
      <w:pPr>
        <w:spacing w:line="480" w:lineRule="auto"/>
        <w:ind w:firstLine="709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IV.3</w:t>
      </w:r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DF4894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894" w:rsidRPr="00216328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4894" w:rsidRPr="0021632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16328">
        <w:rPr>
          <w:rFonts w:ascii="Times New Roman" w:hAnsi="Times New Roman" w:cs="Times New Roman"/>
          <w:sz w:val="24"/>
          <w:szCs w:val="24"/>
          <w:lang w:val="en-US"/>
        </w:rPr>
        <w:t>Z-Score</w:t>
      </w:r>
      <w:r w:rsidR="00DF4894" w:rsidRPr="0021632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B6D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7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B6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784B6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784B6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784B6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784B6D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784B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740927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0,4453. Nilai rata-rata 0,4453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mendekati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="00A271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Hal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59195B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tinggi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59195B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9195B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14DDC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0,95750.</w:t>
      </w:r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14DDC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</w:t>
      </w:r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ilai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236C68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001B9E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="00E3096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E3096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="00E3096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E3096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="00236C68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570410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57041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E5CE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-4,51</w:t>
      </w:r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,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B154F6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financial distress</w:t>
      </w:r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7007F5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7007F5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7007F5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7007F5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B154F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E5CE0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1,79.</w:t>
      </w:r>
      <w:r w:rsidR="00986B09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</w:p>
    <w:p w14:paraId="243FBD38" w14:textId="77777777" w:rsidR="00986B09" w:rsidRDefault="0087667E" w:rsidP="00986B09">
      <w:pPr>
        <w:spacing w:line="480" w:lineRule="auto"/>
        <w:ind w:firstLine="709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IV.3, </w:t>
      </w:r>
      <w:r w:rsidR="007269AA" w:rsidRPr="0021632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7269AA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(ROE)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45BBF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EA7171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7362" w:rsidRPr="00112D45">
        <w:rPr>
          <w:rFonts w:ascii="Times New Romana" w:hAnsi="Times New Romana" w:cs="Arial"/>
          <w:color w:val="010205"/>
          <w:lang w:val="en-US"/>
        </w:rPr>
        <w:t>11</w:t>
      </w:r>
      <w:r w:rsidR="004F7362">
        <w:rPr>
          <w:rFonts w:ascii="Times New Romana" w:hAnsi="Times New Romana" w:cs="Arial"/>
          <w:color w:val="010205"/>
          <w:lang w:val="en-US"/>
        </w:rPr>
        <w:t>,</w:t>
      </w:r>
      <w:r w:rsidR="004F7362" w:rsidRPr="00112D45">
        <w:rPr>
          <w:rFonts w:ascii="Times New Romana" w:hAnsi="Times New Romana" w:cs="Arial"/>
          <w:color w:val="010205"/>
          <w:lang w:val="en-US"/>
        </w:rPr>
        <w:t>9244</w:t>
      </w:r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rata-rata </w:t>
      </w:r>
      <w:r w:rsidR="004F7362" w:rsidRPr="00112D45">
        <w:rPr>
          <w:rFonts w:ascii="Times New Romana" w:hAnsi="Times New Romana" w:cs="Arial"/>
          <w:color w:val="010205"/>
          <w:lang w:val="en-US"/>
        </w:rPr>
        <w:t>11</w:t>
      </w:r>
      <w:r w:rsidR="004F7362">
        <w:rPr>
          <w:rFonts w:ascii="Times New Romana" w:hAnsi="Times New Romana" w:cs="Arial"/>
          <w:color w:val="010205"/>
          <w:lang w:val="en-US"/>
        </w:rPr>
        <w:t>,</w:t>
      </w:r>
      <w:r w:rsidR="004F7362" w:rsidRPr="00112D45">
        <w:rPr>
          <w:rFonts w:ascii="Times New Romana" w:hAnsi="Times New Romana" w:cs="Arial"/>
          <w:color w:val="010205"/>
          <w:lang w:val="en-US"/>
        </w:rPr>
        <w:t>9244</w:t>
      </w:r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BD546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D546D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mendekati</w:t>
      </w:r>
      <w:proofErr w:type="spellEnd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</w:t>
      </w:r>
      <w:proofErr w:type="spellEnd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minimum/</w:t>
      </w:r>
      <w:proofErr w:type="spellStart"/>
      <w:r w:rsidR="00EA7171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maksimum</w:t>
      </w:r>
      <w:proofErr w:type="spellEnd"/>
      <w:r w:rsidR="00EA7171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46F24" w:rsidRPr="00A46F24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 w:rsidR="00437FE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Nilai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37FED" w:rsidRP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396E05" w:rsidRPr="00112D45">
        <w:rPr>
          <w:rFonts w:ascii="Times New Romana" w:hAnsi="Times New Romana" w:cs="Arial"/>
          <w:color w:val="010205"/>
          <w:lang w:val="en-US"/>
        </w:rPr>
        <w:t>14</w:t>
      </w:r>
      <w:r w:rsidR="00396E05">
        <w:rPr>
          <w:rFonts w:ascii="Times New Romana" w:hAnsi="Times New Romana" w:cs="Arial"/>
          <w:color w:val="010205"/>
          <w:lang w:val="en-US"/>
        </w:rPr>
        <w:t>,</w:t>
      </w:r>
      <w:r w:rsidR="00396E05" w:rsidRPr="00112D45">
        <w:rPr>
          <w:rFonts w:ascii="Times New Romana" w:hAnsi="Times New Romana" w:cs="Arial"/>
          <w:color w:val="010205"/>
          <w:lang w:val="en-US"/>
        </w:rPr>
        <w:t>38460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="00437FED"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437FED"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37FED" w:rsidRP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</w:t>
      </w:r>
      <w:r w:rsid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u</w:t>
      </w:r>
      <w:r w:rsidR="00437FED" w:rsidRPr="00437FED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rn on equity</w:t>
      </w:r>
      <w:r w:rsidR="00437FED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437FED"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22113E" w:rsidRPr="0022113E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22113E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09685F" w:rsidRPr="00112D45">
        <w:rPr>
          <w:rFonts w:ascii="Times New Romana" w:hAnsi="Times New Romana" w:cs="Arial"/>
          <w:color w:val="010205"/>
          <w:lang w:val="en-US"/>
        </w:rPr>
        <w:t>-136</w:t>
      </w:r>
      <w:r w:rsidR="0009685F">
        <w:rPr>
          <w:rFonts w:ascii="Times New Romana" w:hAnsi="Times New Romana" w:cs="Arial"/>
          <w:color w:val="010205"/>
          <w:lang w:val="en-US"/>
        </w:rPr>
        <w:t>,</w:t>
      </w:r>
      <w:r w:rsidR="0009685F" w:rsidRPr="00112D45">
        <w:rPr>
          <w:rFonts w:ascii="Times New Romana" w:hAnsi="Times New Romana" w:cs="Arial"/>
          <w:color w:val="010205"/>
          <w:lang w:val="en-US"/>
        </w:rPr>
        <w:t>44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,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D11296" w:rsidRPr="00D1129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return on equity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B45BBF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B45BBF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09685F" w:rsidRPr="00112D45">
        <w:rPr>
          <w:rFonts w:ascii="Times New Romana" w:hAnsi="Times New Romana" w:cs="Arial"/>
          <w:color w:val="010205"/>
          <w:lang w:val="en-US"/>
        </w:rPr>
        <w:t>1</w:t>
      </w:r>
      <w:r w:rsidR="0009685F">
        <w:rPr>
          <w:rFonts w:ascii="Times New Romana" w:hAnsi="Times New Romana" w:cs="Arial"/>
          <w:color w:val="010205"/>
          <w:lang w:val="en-US"/>
        </w:rPr>
        <w:t>,</w:t>
      </w:r>
      <w:r w:rsidR="0009685F" w:rsidRPr="00112D45">
        <w:rPr>
          <w:rFonts w:ascii="Times New Romana" w:hAnsi="Times New Romana" w:cs="Arial"/>
          <w:color w:val="010205"/>
          <w:lang w:val="en-US"/>
        </w:rPr>
        <w:t>55</w:t>
      </w:r>
      <w:r w:rsidR="00437FED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</w:p>
    <w:p w14:paraId="2C85BEBF" w14:textId="77777777" w:rsidR="00986B09" w:rsidRDefault="001667B9" w:rsidP="00986B09">
      <w:pPr>
        <w:spacing w:line="480" w:lineRule="auto"/>
        <w:ind w:firstLine="709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IV.3, </w:t>
      </w:r>
      <w:r w:rsidR="00D05A7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(</w:t>
      </w:r>
      <w:r w:rsidR="00D05A78">
        <w:rPr>
          <w:rFonts w:ascii="Times New Roman" w:hAnsi="Times New Roman" w:cs="Times New Roman"/>
          <w:color w:val="010205"/>
          <w:sz w:val="24"/>
          <w:szCs w:val="24"/>
          <w:lang w:val="en-US"/>
        </w:rPr>
        <w:t>QR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)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934EF4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5AB1">
        <w:rPr>
          <w:rFonts w:ascii="Times New Romana" w:hAnsi="Times New Romana" w:cs="Arial"/>
          <w:color w:val="010205"/>
          <w:lang w:val="en-US"/>
        </w:rPr>
        <w:t>0,</w:t>
      </w:r>
      <w:r w:rsidR="00815AB1" w:rsidRPr="00112D45">
        <w:rPr>
          <w:rFonts w:ascii="Times New Romana" w:hAnsi="Times New Romana" w:cs="Arial"/>
          <w:color w:val="010205"/>
          <w:lang w:val="en-US"/>
        </w:rPr>
        <w:t>8613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rata-rata </w:t>
      </w:r>
      <w:r w:rsidR="00815AB1">
        <w:rPr>
          <w:rFonts w:ascii="Times New Romana" w:hAnsi="Times New Romana" w:cs="Arial"/>
          <w:color w:val="010205"/>
          <w:lang w:val="en-US"/>
        </w:rPr>
        <w:t>0,</w:t>
      </w:r>
      <w:r w:rsidR="00815AB1" w:rsidRPr="00112D45">
        <w:rPr>
          <w:rFonts w:ascii="Times New Romana" w:hAnsi="Times New Romana" w:cs="Arial"/>
          <w:color w:val="010205"/>
          <w:lang w:val="en-US"/>
        </w:rPr>
        <w:t>8613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513461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513461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mendekati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minimum/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maksimum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D05A78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790099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790099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lastRenderedPageBreak/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66F46">
        <w:rPr>
          <w:rFonts w:ascii="Times New Romana" w:hAnsi="Times New Romana" w:cs="Arial"/>
          <w:color w:val="010205"/>
          <w:lang w:val="en-US"/>
        </w:rPr>
        <w:t>0,</w:t>
      </w:r>
      <w:r w:rsidR="00466F46" w:rsidRPr="00112D45">
        <w:rPr>
          <w:rFonts w:ascii="Times New Romana" w:hAnsi="Times New Romana" w:cs="Arial"/>
          <w:color w:val="010205"/>
          <w:lang w:val="en-US"/>
        </w:rPr>
        <w:t>73063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790099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790099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790099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790099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6A750F">
        <w:rPr>
          <w:rFonts w:ascii="Times New Romana" w:hAnsi="Times New Romana" w:cs="Arial"/>
          <w:color w:val="010205"/>
          <w:lang w:val="en-US"/>
        </w:rPr>
        <w:t>0,</w:t>
      </w:r>
      <w:r w:rsidR="006A750F" w:rsidRPr="00112D45">
        <w:rPr>
          <w:rFonts w:ascii="Times New Romana" w:hAnsi="Times New Romana" w:cs="Arial"/>
          <w:color w:val="010205"/>
          <w:lang w:val="en-US"/>
        </w:rPr>
        <w:t>07</w:t>
      </w:r>
      <w:r w:rsidR="003776EB">
        <w:rPr>
          <w:rFonts w:ascii="Times New Roman" w:hAnsi="Times New Roman" w:cs="Times New Roman"/>
          <w:color w:val="010205"/>
          <w:sz w:val="24"/>
          <w:szCs w:val="24"/>
          <w:lang w:val="en-US"/>
        </w:rPr>
        <w:t>,</w:t>
      </w:r>
      <w:r w:rsidR="00D113D3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851307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quick ratio</w:t>
      </w:r>
      <w:r w:rsidR="00851307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934EF4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934EF4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6A750F" w:rsidRPr="00112D45">
        <w:rPr>
          <w:rFonts w:ascii="Times New Romana" w:hAnsi="Times New Romana" w:cs="Arial"/>
          <w:color w:val="010205"/>
          <w:lang w:val="en-US"/>
        </w:rPr>
        <w:t>3</w:t>
      </w:r>
      <w:r w:rsidR="006A750F">
        <w:rPr>
          <w:rFonts w:ascii="Times New Romana" w:hAnsi="Times New Romana" w:cs="Arial"/>
          <w:color w:val="010205"/>
          <w:lang w:val="en-US"/>
        </w:rPr>
        <w:t>,</w:t>
      </w:r>
      <w:r w:rsidR="006A750F" w:rsidRPr="00112D45">
        <w:rPr>
          <w:rFonts w:ascii="Times New Romana" w:hAnsi="Times New Romana" w:cs="Arial"/>
          <w:color w:val="010205"/>
          <w:lang w:val="en-US"/>
        </w:rPr>
        <w:t>46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 w:rsidR="00986B09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</w:p>
    <w:p w14:paraId="63C1F9C9" w14:textId="435EF264" w:rsidR="001667B9" w:rsidRDefault="00521160" w:rsidP="00986B09">
      <w:pPr>
        <w:spacing w:line="480" w:lineRule="auto"/>
        <w:ind w:firstLine="709"/>
        <w:jc w:val="both"/>
        <w:rPr>
          <w:rFonts w:ascii="Times New Roman" w:hAnsi="Times New Roman" w:cs="Times New Roman"/>
          <w:color w:val="010205"/>
          <w:sz w:val="24"/>
          <w:szCs w:val="24"/>
          <w:lang w:val="en-US"/>
        </w:rPr>
      </w:pP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Berdasarkan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Tabel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IV.3, </w:t>
      </w:r>
      <w:r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>DER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)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AE0456"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0E4F" w:rsidRPr="00112D45">
        <w:rPr>
          <w:rFonts w:ascii="Times New Romana" w:hAnsi="Times New Romana" w:cs="Arial"/>
          <w:color w:val="010205"/>
          <w:lang w:val="en-US"/>
        </w:rPr>
        <w:t>11</w:t>
      </w:r>
      <w:r w:rsidR="00200E4F">
        <w:rPr>
          <w:rFonts w:ascii="Times New Romana" w:hAnsi="Times New Romana" w:cs="Arial"/>
          <w:color w:val="010205"/>
          <w:lang w:val="en-US"/>
        </w:rPr>
        <w:t>,</w:t>
      </w:r>
      <w:r w:rsidR="00200E4F" w:rsidRPr="00112D45">
        <w:rPr>
          <w:rFonts w:ascii="Times New Romana" w:hAnsi="Times New Romana" w:cs="Arial"/>
          <w:color w:val="010205"/>
          <w:lang w:val="en-US"/>
        </w:rPr>
        <w:t>9244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rata-rata </w:t>
      </w:r>
      <w:r w:rsidR="00200E4F" w:rsidRPr="00112D45">
        <w:rPr>
          <w:rFonts w:ascii="Times New Romana" w:hAnsi="Times New Romana" w:cs="Arial"/>
          <w:color w:val="010205"/>
          <w:lang w:val="en-US"/>
        </w:rPr>
        <w:t>11</w:t>
      </w:r>
      <w:r w:rsidR="00200E4F">
        <w:rPr>
          <w:rFonts w:ascii="Times New Romana" w:hAnsi="Times New Romana" w:cs="Arial"/>
          <w:color w:val="010205"/>
          <w:lang w:val="en-US"/>
        </w:rPr>
        <w:t>,</w:t>
      </w:r>
      <w:r w:rsidR="00200E4F" w:rsidRPr="00112D45">
        <w:rPr>
          <w:rFonts w:ascii="Times New Romana" w:hAnsi="Times New Romana" w:cs="Arial"/>
          <w:color w:val="010205"/>
          <w:lang w:val="en-US"/>
        </w:rPr>
        <w:t>9244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artinya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ada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kecenderungan</w:t>
      </w:r>
      <w:proofErr w:type="spellEnd"/>
      <w:r w:rsidR="00AF0010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F0010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mendekati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minimum/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maksimum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tingkat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indeks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standar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deviasi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4F7362" w:rsidRPr="00112D45">
        <w:rPr>
          <w:rFonts w:ascii="Times New Romana" w:hAnsi="Times New Romana" w:cs="Arial"/>
          <w:color w:val="010205"/>
          <w:lang w:val="en-US"/>
        </w:rPr>
        <w:t>83</w:t>
      </w:r>
      <w:r w:rsidR="004F7362">
        <w:rPr>
          <w:rFonts w:ascii="Times New Romana" w:hAnsi="Times New Romana" w:cs="Arial"/>
          <w:color w:val="010205"/>
          <w:lang w:val="en-US"/>
        </w:rPr>
        <w:t>,</w:t>
      </w:r>
      <w:r w:rsidR="004F7362" w:rsidRPr="00112D45">
        <w:rPr>
          <w:rFonts w:ascii="Times New Romana" w:hAnsi="Times New Romana" w:cs="Arial"/>
          <w:color w:val="010205"/>
          <w:lang w:val="en-US"/>
        </w:rPr>
        <w:t>31041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Nilai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lebih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437FED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apabila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dibandingkan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rata-rata. Hal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menunjukkan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bahwa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rentang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data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satu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dengan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yang lain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tergolong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rendah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sedang</w:t>
      </w:r>
      <w:proofErr w:type="spellEnd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Pr="00216328">
        <w:rPr>
          <w:rFonts w:ascii="Times New Roman" w:hAnsi="Times New Roman" w:cs="Times New Roman"/>
          <w:color w:val="FF0000"/>
          <w:sz w:val="24"/>
          <w:szCs w:val="24"/>
          <w:lang w:val="en-US"/>
        </w:rPr>
        <w:t>tinggi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. 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minimum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3F6728" w:rsidRPr="00112D45">
        <w:rPr>
          <w:rFonts w:ascii="Times New Romana" w:hAnsi="Times New Romana" w:cs="Arial"/>
          <w:color w:val="010205"/>
          <w:lang w:val="en-US"/>
        </w:rPr>
        <w:t>-7</w:t>
      </w:r>
      <w:r w:rsidR="003F6728">
        <w:rPr>
          <w:rFonts w:ascii="Times New Romana" w:hAnsi="Times New Romana" w:cs="Arial"/>
          <w:color w:val="010205"/>
          <w:lang w:val="en-US"/>
        </w:rPr>
        <w:t>,</w:t>
      </w:r>
      <w:r w:rsidR="003F6728" w:rsidRPr="00112D45">
        <w:rPr>
          <w:rFonts w:ascii="Times New Romana" w:hAnsi="Times New Romana" w:cs="Arial"/>
          <w:color w:val="010205"/>
          <w:lang w:val="en-US"/>
        </w:rPr>
        <w:t>18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,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sementara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AA1C06" w:rsidRPr="00521160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>debt to equity</w:t>
      </w:r>
      <w:r w:rsidR="00AA1C06">
        <w:rPr>
          <w:rFonts w:ascii="Times New Roman" w:hAnsi="Times New Roman" w:cs="Times New Roman"/>
          <w:i/>
          <w:iCs/>
          <w:color w:val="010205"/>
          <w:sz w:val="24"/>
          <w:szCs w:val="24"/>
          <w:lang w:val="en-US"/>
        </w:rPr>
        <w:t xml:space="preserve"> ratio</w:t>
      </w:r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untuk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perusahaan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memiliki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nilai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maksimum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sebesar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r w:rsidR="003F6728" w:rsidRPr="00112D45">
        <w:rPr>
          <w:rFonts w:ascii="Times New Romana" w:hAnsi="Times New Romana" w:cs="Arial"/>
          <w:color w:val="010205"/>
          <w:lang w:val="en-US"/>
        </w:rPr>
        <w:t>786</w:t>
      </w:r>
      <w:r w:rsidR="003F6728">
        <w:rPr>
          <w:rFonts w:ascii="Times New Romana" w:hAnsi="Times New Romana" w:cs="Arial"/>
          <w:color w:val="010205"/>
          <w:lang w:val="en-US"/>
        </w:rPr>
        <w:t>,</w:t>
      </w:r>
      <w:r w:rsidR="003F6728" w:rsidRPr="00112D45">
        <w:rPr>
          <w:rFonts w:ascii="Times New Romana" w:hAnsi="Times New Romana" w:cs="Arial"/>
          <w:color w:val="010205"/>
          <w:lang w:val="en-US"/>
        </w:rPr>
        <w:t>93</w:t>
      </w:r>
      <w:r w:rsidR="009873A0">
        <w:rPr>
          <w:rFonts w:ascii="Times New Roman" w:hAnsi="Times New Roman" w:cs="Times New Roman"/>
          <w:color w:val="010205"/>
          <w:sz w:val="24"/>
          <w:szCs w:val="24"/>
          <w:lang w:val="en-US"/>
        </w:rPr>
        <w:t>.</w:t>
      </w:r>
    </w:p>
    <w:p w14:paraId="55893AF5" w14:textId="095061D0" w:rsidR="00466531" w:rsidRPr="00BF10F4" w:rsidRDefault="00466531" w:rsidP="00986B09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Pengujian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Asumsi</w:t>
      </w:r>
      <w:proofErr w:type="spellEnd"/>
    </w:p>
    <w:p w14:paraId="6BC52BD9" w14:textId="6BE6EEA2" w:rsidR="00466531" w:rsidRPr="00BF10F4" w:rsidRDefault="00466531" w:rsidP="00986B09">
      <w:pPr>
        <w:pStyle w:val="Heading4"/>
        <w:numPr>
          <w:ilvl w:val="3"/>
          <w:numId w:val="21"/>
        </w:numPr>
        <w:spacing w:line="480" w:lineRule="auto"/>
        <w:ind w:left="851" w:hanging="851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155D9B1D" w14:textId="65A18DFC" w:rsidR="005223C4" w:rsidRDefault="005223C4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ataukah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. Model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berdistribusi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normal.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ber</w:t>
      </w:r>
      <w:r>
        <w:rPr>
          <w:rFonts w:ascii="Times New Roman" w:hAnsi="Times New Roman" w:cs="Times New Roman"/>
          <w:sz w:val="24"/>
          <w:szCs w:val="24"/>
          <w:lang w:val="en-US"/>
        </w:rPr>
        <w:t>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(KS) Kolmogorov–Smirnov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symp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. Sig &gt;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taraf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(α)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data normal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sig (p) &gt; 0,05 dan data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sig (p) &lt; 0,05.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Kolmogorov-Smirnov pada data residual. Dan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IV.4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23C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223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D0E8AC" w14:textId="31D1046C" w:rsidR="00922E21" w:rsidRPr="00922E21" w:rsidRDefault="00922E21" w:rsidP="00950C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22E2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922E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IV.4 </w:t>
      </w:r>
      <w:proofErr w:type="spellStart"/>
      <w:r w:rsidRPr="00922E21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Kelayakan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Model Atas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Asumsi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Normalitas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90"/>
        <w:gridCol w:w="2387"/>
        <w:gridCol w:w="2355"/>
      </w:tblGrid>
      <w:tr w:rsidR="00922E21" w:rsidRPr="00534A1E" w14:paraId="2FF53CC1" w14:textId="77777777" w:rsidTr="00986B09">
        <w:trPr>
          <w:cantSplit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68DD0D" w14:textId="77777777" w:rsidR="00922E21" w:rsidRPr="00534A1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10205"/>
                <w:lang w:val="en-US"/>
              </w:rPr>
            </w:pPr>
            <w:r w:rsidRPr="00534A1E">
              <w:rPr>
                <w:rFonts w:ascii="Times New Roman" w:hAnsi="Times New Roman" w:cs="Times New Roman"/>
                <w:b/>
                <w:bCs/>
                <w:color w:val="010205"/>
                <w:lang w:val="en-US"/>
              </w:rPr>
              <w:t>One-Sample Kolmogorov-Smirnov Test</w:t>
            </w:r>
          </w:p>
        </w:tc>
      </w:tr>
      <w:tr w:rsidR="0083232E" w:rsidRPr="0083232E" w14:paraId="2E1E67C9" w14:textId="77777777" w:rsidTr="00986B09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287A6C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ED77EC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Unstandardized Residual</w:t>
            </w:r>
          </w:p>
        </w:tc>
      </w:tr>
      <w:tr w:rsidR="0083232E" w:rsidRPr="0083232E" w14:paraId="7E843345" w14:textId="77777777" w:rsidTr="00986B09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8055B2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647909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79</w:t>
            </w:r>
          </w:p>
        </w:tc>
      </w:tr>
      <w:tr w:rsidR="0083232E" w:rsidRPr="0083232E" w14:paraId="11C0156E" w14:textId="77777777" w:rsidTr="00986B09">
        <w:trPr>
          <w:cantSplit/>
        </w:trPr>
        <w:tc>
          <w:tcPr>
            <w:tcW w:w="245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AFD893" w14:textId="4A7D33D2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Normal</w:t>
            </w:r>
            <w:r w:rsidR="001F4430" w:rsidRPr="0083232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83232E">
              <w:rPr>
                <w:rFonts w:ascii="Times New Roman" w:hAnsi="Times New Roman" w:cs="Times New Roman"/>
                <w:lang w:val="en-US"/>
              </w:rPr>
              <w:t>Parameters</w:t>
            </w:r>
            <w:r w:rsidRPr="0083232E">
              <w:rPr>
                <w:rFonts w:ascii="Times New Roman" w:hAnsi="Times New Roman" w:cs="Times New Roman"/>
                <w:vertAlign w:val="superscript"/>
                <w:lang w:val="en-US"/>
              </w:rPr>
              <w:t>a,b</w:t>
            </w:r>
            <w:proofErr w:type="spellEnd"/>
            <w:proofErr w:type="gramEnd"/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1458A4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99723B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.0000000</w:t>
            </w:r>
          </w:p>
        </w:tc>
      </w:tr>
      <w:tr w:rsidR="0083232E" w:rsidRPr="0083232E" w14:paraId="7FE21E10" w14:textId="77777777" w:rsidTr="00986B09">
        <w:trPr>
          <w:cantSplit/>
        </w:trPr>
        <w:tc>
          <w:tcPr>
            <w:tcW w:w="245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02E831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92615D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Std. Deviation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AE0428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.89516998</w:t>
            </w:r>
          </w:p>
        </w:tc>
      </w:tr>
      <w:tr w:rsidR="0083232E" w:rsidRPr="0083232E" w14:paraId="37E6F75E" w14:textId="77777777" w:rsidTr="00986B09">
        <w:trPr>
          <w:cantSplit/>
        </w:trPr>
        <w:tc>
          <w:tcPr>
            <w:tcW w:w="245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A83A1C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Most Extreme Differences</w:t>
            </w: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CA0608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Absolute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565426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.182</w:t>
            </w:r>
          </w:p>
        </w:tc>
      </w:tr>
      <w:tr w:rsidR="0083232E" w:rsidRPr="0083232E" w14:paraId="16D2E3DA" w14:textId="77777777" w:rsidTr="00986B09">
        <w:trPr>
          <w:cantSplit/>
        </w:trPr>
        <w:tc>
          <w:tcPr>
            <w:tcW w:w="245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ACA884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C9A1DA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Positive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52F020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.114</w:t>
            </w:r>
          </w:p>
        </w:tc>
      </w:tr>
      <w:tr w:rsidR="0083232E" w:rsidRPr="0083232E" w14:paraId="2158FCB3" w14:textId="77777777" w:rsidTr="00986B09">
        <w:trPr>
          <w:cantSplit/>
        </w:trPr>
        <w:tc>
          <w:tcPr>
            <w:tcW w:w="245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7BEF13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8F6D51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Negative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6185DA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-.182</w:t>
            </w:r>
          </w:p>
        </w:tc>
      </w:tr>
      <w:tr w:rsidR="0083232E" w:rsidRPr="0083232E" w14:paraId="4DA38472" w14:textId="77777777" w:rsidTr="00986B09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E32648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Test Statistic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408E65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.182</w:t>
            </w:r>
          </w:p>
        </w:tc>
      </w:tr>
      <w:tr w:rsidR="0083232E" w:rsidRPr="0083232E" w14:paraId="5EE67222" w14:textId="77777777" w:rsidTr="00FC0845">
        <w:trPr>
          <w:cantSplit/>
        </w:trPr>
        <w:tc>
          <w:tcPr>
            <w:tcW w:w="3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1CD565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232E">
              <w:rPr>
                <w:rFonts w:ascii="Times New Roman" w:hAnsi="Times New Roman" w:cs="Times New Roman"/>
                <w:lang w:val="en-US"/>
              </w:rPr>
              <w:t>Asymp</w:t>
            </w:r>
            <w:proofErr w:type="spellEnd"/>
            <w:r w:rsidRPr="0083232E">
              <w:rPr>
                <w:rFonts w:ascii="Times New Roman" w:hAnsi="Times New Roman" w:cs="Times New Roman"/>
                <w:lang w:val="en-US"/>
              </w:rPr>
              <w:t>. Sig. (2-tailed)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333E37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.000</w:t>
            </w:r>
            <w:r w:rsidRPr="0083232E">
              <w:rPr>
                <w:rFonts w:ascii="Times New Roman" w:hAnsi="Times New Roman" w:cs="Times New Roman"/>
                <w:vertAlign w:val="superscript"/>
                <w:lang w:val="en-US"/>
              </w:rPr>
              <w:t>c</w:t>
            </w:r>
          </w:p>
        </w:tc>
      </w:tr>
      <w:tr w:rsidR="0083232E" w:rsidRPr="0083232E" w14:paraId="52BD5A80" w14:textId="77777777" w:rsidTr="00FC0845">
        <w:trPr>
          <w:cantSplit/>
          <w:trHeight w:val="82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9B57E5C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a. Test distribution is Normal.</w:t>
            </w:r>
          </w:p>
        </w:tc>
      </w:tr>
      <w:tr w:rsidR="0083232E" w:rsidRPr="0083232E" w14:paraId="1F102D05" w14:textId="77777777" w:rsidTr="00FC0845">
        <w:trPr>
          <w:cantSplit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545BA7D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b. Calculated from data.</w:t>
            </w:r>
          </w:p>
        </w:tc>
      </w:tr>
      <w:tr w:rsidR="0083232E" w:rsidRPr="0083232E" w14:paraId="5A6B77B4" w14:textId="77777777" w:rsidTr="00FC0845">
        <w:trPr>
          <w:cantSplit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9BE9F7" w14:textId="77777777" w:rsidR="00922E21" w:rsidRPr="0083232E" w:rsidRDefault="00922E21" w:rsidP="00FC08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83232E">
              <w:rPr>
                <w:rFonts w:ascii="Times New Roman" w:hAnsi="Times New Roman" w:cs="Times New Roman"/>
                <w:lang w:val="en-US"/>
              </w:rPr>
              <w:t>c. Lilliefors Significance Correction.</w:t>
            </w:r>
          </w:p>
        </w:tc>
      </w:tr>
    </w:tbl>
    <w:p w14:paraId="41BBC098" w14:textId="77777777" w:rsidR="0084775A" w:rsidRDefault="0084775A" w:rsidP="00986B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>, 2022</w:t>
      </w:r>
    </w:p>
    <w:p w14:paraId="659CD633" w14:textId="5C40CE6B" w:rsidR="00AF056B" w:rsidRPr="005223C4" w:rsidRDefault="00AF056B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IV.4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normalitas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berdistribusi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normal,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Kolmogorov-Smirnov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>
        <w:rPr>
          <w:rFonts w:ascii="Times New Roman" w:hAnsi="Times New Roman" w:cs="Times New Roman"/>
          <w:sz w:val="24"/>
          <w:szCs w:val="24"/>
          <w:lang w:val="en-US"/>
        </w:rPr>
        <w:t>182</w:t>
      </w:r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05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F056B">
        <w:rPr>
          <w:rFonts w:ascii="Times New Roman" w:hAnsi="Times New Roman" w:cs="Times New Roman"/>
          <w:sz w:val="24"/>
          <w:szCs w:val="24"/>
          <w:lang w:val="en-US"/>
        </w:rPr>
        <w:t xml:space="preserve"> 0,05</w:t>
      </w:r>
      <w:r w:rsidR="005028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10B31E" w14:textId="4CDFF211" w:rsidR="00466531" w:rsidRPr="00BF10F4" w:rsidRDefault="00466531" w:rsidP="00986B09">
      <w:pPr>
        <w:pStyle w:val="Heading4"/>
        <w:numPr>
          <w:ilvl w:val="3"/>
          <w:numId w:val="21"/>
        </w:numPr>
        <w:spacing w:line="480" w:lineRule="auto"/>
        <w:ind w:left="851" w:hanging="851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Multikolinieritas</w:t>
      </w:r>
      <w:proofErr w:type="spellEnd"/>
    </w:p>
    <w:p w14:paraId="46564A65" w14:textId="21F78320" w:rsidR="00951CBC" w:rsidRDefault="00951CBC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Multikolinieritas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ditunjukkan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kolinieritas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6B0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96B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multikolinearitas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, oleh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diperuntukan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r w:rsidRPr="00732858">
        <w:rPr>
          <w:rFonts w:ascii="Times New Roman" w:hAnsi="Times New Roman" w:cs="Times New Roman"/>
          <w:i/>
          <w:iCs/>
          <w:sz w:val="24"/>
          <w:szCs w:val="24"/>
          <w:lang w:val="en-US"/>
        </w:rPr>
        <w:t>tolerance</w:t>
      </w:r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pada masing-masing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10% (0,1),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VIF (variance inflation factor) masing-masing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10. Hal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menandakan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75B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="008C47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7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75B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8C47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75B" w:rsidRPr="008C475B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8C475B">
        <w:rPr>
          <w:rFonts w:ascii="Times New Roman" w:hAnsi="Times New Roman" w:cs="Times New Roman"/>
          <w:sz w:val="24"/>
          <w:szCs w:val="24"/>
          <w:lang w:val="en-US"/>
        </w:rPr>
        <w:t xml:space="preserve"> (Z-Score)</w:t>
      </w:r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multikolenieritas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multikol</w:t>
      </w:r>
      <w:r w:rsidR="00F2483B">
        <w:rPr>
          <w:rFonts w:ascii="Times New Roman" w:hAnsi="Times New Roman" w:cs="Times New Roman"/>
          <w:sz w:val="24"/>
          <w:szCs w:val="24"/>
          <w:lang w:val="en-US"/>
        </w:rPr>
        <w:t>inieritas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171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tolerance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10%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0433">
        <w:rPr>
          <w:rFonts w:ascii="Times New Roman" w:hAnsi="Times New Roman" w:cs="Times New Roman"/>
          <w:i/>
          <w:iCs/>
          <w:sz w:val="24"/>
          <w:szCs w:val="24"/>
          <w:lang w:val="en-US"/>
        </w:rPr>
        <w:t>variance inflation factor</w:t>
      </w:r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(VIF)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CBC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951CBC">
        <w:rPr>
          <w:rFonts w:ascii="Times New Roman" w:hAnsi="Times New Roman" w:cs="Times New Roman"/>
          <w:sz w:val="24"/>
          <w:szCs w:val="24"/>
          <w:lang w:val="en-US"/>
        </w:rPr>
        <w:t xml:space="preserve"> 10.</w:t>
      </w:r>
    </w:p>
    <w:p w14:paraId="3629585D" w14:textId="6B2FB4BC" w:rsidR="00986B09" w:rsidRDefault="00986B09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357F0B" w14:textId="77777777" w:rsidR="00986B09" w:rsidRDefault="00986B09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912C1" w14:textId="12F97840" w:rsidR="00F24726" w:rsidRPr="00B01617" w:rsidRDefault="00F24726" w:rsidP="00950C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0161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B016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IV.5 </w:t>
      </w:r>
      <w:proofErr w:type="spellStart"/>
      <w:r w:rsidRPr="00B01617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Multikolinieritas</w:t>
      </w:r>
      <w:proofErr w:type="spellEnd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"/>
        <w:gridCol w:w="4379"/>
        <w:gridCol w:w="2193"/>
        <w:gridCol w:w="2204"/>
      </w:tblGrid>
      <w:tr w:rsidR="002D2145" w:rsidRPr="002D2145" w14:paraId="5302ACD5" w14:textId="77777777" w:rsidTr="009A5C80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C23F49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Coefficients</w:t>
            </w:r>
            <w:r w:rsidRPr="002D2145">
              <w:rPr>
                <w:rFonts w:ascii="Times New Roman" w:hAnsi="Times New Roman" w:cs="Times New Roman"/>
                <w:b/>
                <w:bCs/>
                <w:vertAlign w:val="superscript"/>
                <w:lang w:val="en-US"/>
              </w:rPr>
              <w:t>a</w:t>
            </w:r>
            <w:proofErr w:type="spellEnd"/>
          </w:p>
        </w:tc>
      </w:tr>
      <w:tr w:rsidR="002D2145" w:rsidRPr="002D2145" w14:paraId="593A0F7D" w14:textId="77777777" w:rsidTr="009A5C80">
        <w:trPr>
          <w:cantSplit/>
        </w:trPr>
        <w:tc>
          <w:tcPr>
            <w:tcW w:w="2644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3E22ED4" w14:textId="6EA79D17" w:rsidR="00D81A3A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23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2B7525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Collinearity Statistics</w:t>
            </w:r>
          </w:p>
        </w:tc>
      </w:tr>
      <w:tr w:rsidR="002D2145" w:rsidRPr="002D2145" w14:paraId="5A50E76E" w14:textId="77777777" w:rsidTr="009A5C80">
        <w:trPr>
          <w:cantSplit/>
        </w:trPr>
        <w:tc>
          <w:tcPr>
            <w:tcW w:w="2644" w:type="pct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F83424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F50578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Tolerance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DFB5DF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D2145">
              <w:rPr>
                <w:rFonts w:ascii="Times New Roman" w:hAnsi="Times New Roman" w:cs="Times New Roman"/>
                <w:b/>
                <w:bCs/>
                <w:lang w:val="en-US"/>
              </w:rPr>
              <w:t>VIF</w:t>
            </w:r>
          </w:p>
        </w:tc>
      </w:tr>
      <w:tr w:rsidR="002D2145" w:rsidRPr="002D2145" w14:paraId="3F7D23AE" w14:textId="77777777" w:rsidTr="009A5C80">
        <w:trPr>
          <w:cantSplit/>
        </w:trPr>
        <w:tc>
          <w:tcPr>
            <w:tcW w:w="29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CB425F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2886E1" w14:textId="685DDA46" w:rsidR="00D81A3A" w:rsidRPr="002D2145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2145">
              <w:rPr>
                <w:rFonts w:ascii="Times New Roman" w:hAnsi="Times New Roman" w:cs="Times New Roman"/>
                <w:lang w:val="en-US"/>
              </w:rPr>
              <w:t>Konstanta</w:t>
            </w:r>
            <w:proofErr w:type="spellEnd"/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CB3384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841743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2145" w:rsidRPr="002D2145" w14:paraId="0346E5DC" w14:textId="77777777" w:rsidTr="009A5C80">
        <w:trPr>
          <w:cantSplit/>
        </w:trPr>
        <w:tc>
          <w:tcPr>
            <w:tcW w:w="29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CEA8D9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3CA78E" w14:textId="31D14BC0" w:rsidR="00D81A3A" w:rsidRPr="002D2145" w:rsidRDefault="00986B09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986B09">
              <w:rPr>
                <w:rFonts w:ascii="Times New Roman" w:hAnsi="Times New Roman" w:cs="Times New Roman"/>
                <w:i/>
                <w:iCs/>
                <w:lang w:val="en-US"/>
              </w:rPr>
              <w:t>Return on equity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ROE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4F4A04B" w14:textId="42A9CCDE" w:rsidR="00D81A3A" w:rsidRPr="002D2145" w:rsidRDefault="00986B09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7B62F71" w14:textId="056ABE64" w:rsidR="00D81A3A" w:rsidRPr="002D2145" w:rsidRDefault="00D81A3A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957</w:t>
            </w:r>
            <w:r w:rsidR="00986B09">
              <w:rPr>
                <w:rFonts w:ascii="Times New Roman" w:hAnsi="Times New Roman" w:cs="Times New Roman"/>
                <w:lang w:val="en-US"/>
              </w:rPr>
              <w:t>,</w:t>
            </w:r>
            <w:r w:rsidRPr="002D2145">
              <w:rPr>
                <w:rFonts w:ascii="Times New Roman" w:hAnsi="Times New Roman" w:cs="Times New Roman"/>
                <w:lang w:val="en-US"/>
              </w:rPr>
              <w:t>958</w:t>
            </w:r>
          </w:p>
        </w:tc>
      </w:tr>
      <w:tr w:rsidR="002D2145" w:rsidRPr="002D2145" w14:paraId="6446848F" w14:textId="77777777" w:rsidTr="009A5C80">
        <w:trPr>
          <w:cantSplit/>
        </w:trPr>
        <w:tc>
          <w:tcPr>
            <w:tcW w:w="29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ECDA4D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A2B029" w14:textId="18656DF7" w:rsidR="00D81A3A" w:rsidRPr="002D2145" w:rsidRDefault="00986B09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986B09">
              <w:rPr>
                <w:rFonts w:ascii="Times New Roman" w:hAnsi="Times New Roman" w:cs="Times New Roman"/>
                <w:i/>
                <w:iCs/>
                <w:lang w:val="en-US"/>
              </w:rPr>
              <w:t>Quick ratio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QR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04D0E34" w14:textId="389DF1F7" w:rsidR="00D81A3A" w:rsidRPr="002D2145" w:rsidRDefault="00986B09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879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26BDA7" w14:textId="6199EDE3" w:rsidR="00D81A3A" w:rsidRPr="002D2145" w:rsidRDefault="00D81A3A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1</w:t>
            </w:r>
            <w:r w:rsidR="00986B09">
              <w:rPr>
                <w:rFonts w:ascii="Times New Roman" w:hAnsi="Times New Roman" w:cs="Times New Roman"/>
                <w:lang w:val="en-US"/>
              </w:rPr>
              <w:t>,</w:t>
            </w:r>
            <w:r w:rsidRPr="002D2145">
              <w:rPr>
                <w:rFonts w:ascii="Times New Roman" w:hAnsi="Times New Roman" w:cs="Times New Roman"/>
                <w:lang w:val="en-US"/>
              </w:rPr>
              <w:t>138</w:t>
            </w:r>
          </w:p>
        </w:tc>
      </w:tr>
      <w:tr w:rsidR="002D2145" w:rsidRPr="002D2145" w14:paraId="0207450F" w14:textId="77777777" w:rsidTr="009A5C80">
        <w:trPr>
          <w:cantSplit/>
        </w:trPr>
        <w:tc>
          <w:tcPr>
            <w:tcW w:w="29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585A70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A08EF7" w14:textId="6AC1053A" w:rsidR="00D81A3A" w:rsidRPr="002D2145" w:rsidRDefault="00986B09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986B09">
              <w:rPr>
                <w:rFonts w:ascii="Times New Roman" w:hAnsi="Times New Roman" w:cs="Times New Roman"/>
                <w:i/>
                <w:iCs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DER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998793" w14:textId="3F1A4A70" w:rsidR="00D81A3A" w:rsidRPr="002D2145" w:rsidRDefault="00986B09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D81A3A" w:rsidRPr="002D2145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6F2F755" w14:textId="08D03E0C" w:rsidR="00D81A3A" w:rsidRPr="002D2145" w:rsidRDefault="00D81A3A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960</w:t>
            </w:r>
            <w:r w:rsidR="00986B09">
              <w:rPr>
                <w:rFonts w:ascii="Times New Roman" w:hAnsi="Times New Roman" w:cs="Times New Roman"/>
                <w:lang w:val="en-US"/>
              </w:rPr>
              <w:t>,</w:t>
            </w:r>
            <w:r w:rsidRPr="002D2145">
              <w:rPr>
                <w:rFonts w:ascii="Times New Roman" w:hAnsi="Times New Roman" w:cs="Times New Roman"/>
                <w:lang w:val="en-US"/>
              </w:rPr>
              <w:t>524</w:t>
            </w:r>
          </w:p>
        </w:tc>
      </w:tr>
      <w:tr w:rsidR="002D2145" w:rsidRPr="002D2145" w14:paraId="18B4A6D3" w14:textId="77777777" w:rsidTr="003F48BC">
        <w:trPr>
          <w:cantSplit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BF1075F" w14:textId="77777777" w:rsidR="00D81A3A" w:rsidRPr="002D2145" w:rsidRDefault="00D81A3A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lang w:val="en-US"/>
              </w:rPr>
            </w:pPr>
            <w:r w:rsidRPr="002D2145">
              <w:rPr>
                <w:rFonts w:ascii="Times New Roman" w:hAnsi="Times New Roman" w:cs="Times New Roman"/>
                <w:lang w:val="en-US"/>
              </w:rPr>
              <w:t>a. Dependent Variable: ZSCORE1</w:t>
            </w:r>
          </w:p>
        </w:tc>
      </w:tr>
    </w:tbl>
    <w:p w14:paraId="0786EC9F" w14:textId="1283B795" w:rsidR="00B01617" w:rsidRPr="00951CBC" w:rsidRDefault="00C548E7" w:rsidP="00986B0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337AF4C3" w14:textId="15D8549D" w:rsidR="00466531" w:rsidRPr="00BF10F4" w:rsidRDefault="00466531" w:rsidP="00986B09">
      <w:pPr>
        <w:pStyle w:val="Heading4"/>
        <w:numPr>
          <w:ilvl w:val="3"/>
          <w:numId w:val="21"/>
        </w:numPr>
        <w:spacing w:line="480" w:lineRule="auto"/>
        <w:ind w:left="851" w:hanging="851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Auto </w:t>
      </w:r>
      <w:proofErr w:type="spellStart"/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Korelasi</w:t>
      </w:r>
      <w:proofErr w:type="spellEnd"/>
    </w:p>
    <w:p w14:paraId="2732D058" w14:textId="21ECA82C" w:rsidR="00891CFE" w:rsidRDefault="00891CFE" w:rsidP="00986B09">
      <w:pPr>
        <w:spacing w:line="48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Persamaan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regresi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yang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memiliki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bCs/>
          <w:sz w:val="24"/>
          <w:szCs w:val="24"/>
        </w:rPr>
        <w:t>autokorelasi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. Jika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bCs/>
          <w:sz w:val="24"/>
          <w:szCs w:val="24"/>
        </w:rPr>
        <w:t>autokorelasi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perasamaan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menjadi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layak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dipakai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prediksi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Ukuaran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menentukan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tidaknya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masalah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autokorelasi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uji </w:t>
      </w:r>
      <w:r w:rsidRPr="00891CFE">
        <w:rPr>
          <w:rFonts w:ascii="Times New Roman" w:eastAsia="Times New Roman" w:hAnsi="Times New Roman"/>
          <w:bCs/>
          <w:i/>
          <w:iCs/>
          <w:sz w:val="24"/>
          <w:szCs w:val="24"/>
        </w:rPr>
        <w:t>Durbin-Watson</w:t>
      </w:r>
      <w:r w:rsidRPr="00891CFE">
        <w:rPr>
          <w:rFonts w:ascii="Times New Roman" w:eastAsia="Times New Roman" w:hAnsi="Times New Roman"/>
          <w:bCs/>
          <w:sz w:val="24"/>
          <w:szCs w:val="24"/>
        </w:rPr>
        <w:t xml:space="preserve"> (DW)</w:t>
      </w:r>
      <w:r w:rsidRPr="00891CF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ketentuan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sebagai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91CFE">
        <w:rPr>
          <w:rFonts w:ascii="Times New Roman" w:eastAsia="Times New Roman" w:hAnsi="Times New Roman"/>
          <w:sz w:val="24"/>
          <w:szCs w:val="24"/>
        </w:rPr>
        <w:t>berikut</w:t>
      </w:r>
      <w:proofErr w:type="spellEnd"/>
      <w:r w:rsidRPr="00891CFE">
        <w:rPr>
          <w:rFonts w:ascii="Times New Roman" w:eastAsia="Times New Roman" w:hAnsi="Times New Roman"/>
          <w:sz w:val="24"/>
          <w:szCs w:val="24"/>
        </w:rPr>
        <w:t>:</w:t>
      </w:r>
    </w:p>
    <w:p w14:paraId="0EFC5CFB" w14:textId="0A1F5B17" w:rsidR="00AA47CC" w:rsidRPr="00991506" w:rsidRDefault="00AA47CC" w:rsidP="00986B09">
      <w:pPr>
        <w:pStyle w:val="ListParagraph"/>
        <w:numPr>
          <w:ilvl w:val="0"/>
          <w:numId w:val="22"/>
        </w:numPr>
        <w:spacing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7CC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AA47CC">
        <w:rPr>
          <w:rFonts w:ascii="Times New Roman" w:eastAsia="Times New Roman" w:hAnsi="Times New Roman" w:cs="Times New Roman"/>
          <w:sz w:val="24"/>
          <w:szCs w:val="24"/>
        </w:rPr>
        <w:t>erjad</w:t>
      </w:r>
      <w:r w:rsidRPr="0099150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autokorelasi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DW di </w:t>
      </w:r>
      <w:proofErr w:type="spellStart"/>
      <w:r w:rsidRPr="00991506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991506">
        <w:rPr>
          <w:rFonts w:ascii="Times New Roman" w:eastAsia="Times New Roman" w:hAnsi="Times New Roman" w:cs="Times New Roman"/>
          <w:sz w:val="24"/>
          <w:szCs w:val="24"/>
        </w:rPr>
        <w:t xml:space="preserve"> -2 (DW &lt; -2);</w:t>
      </w:r>
    </w:p>
    <w:p w14:paraId="6FF63EF2" w14:textId="4D171345" w:rsidR="00AA47CC" w:rsidRPr="007C7031" w:rsidRDefault="00991506" w:rsidP="00986B09">
      <w:pPr>
        <w:pStyle w:val="ListParagraph"/>
        <w:numPr>
          <w:ilvl w:val="0"/>
          <w:numId w:val="22"/>
        </w:numPr>
        <w:spacing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terjadi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autokorelasi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DW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berada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-2 dan +2 </w:t>
      </w:r>
      <w:proofErr w:type="spellStart"/>
      <w:r w:rsidRPr="00991506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991506">
        <w:rPr>
          <w:rFonts w:ascii="Times New Roman" w:eastAsia="Times New Roman" w:hAnsi="Times New Roman"/>
          <w:sz w:val="24"/>
          <w:szCs w:val="24"/>
        </w:rPr>
        <w:t xml:space="preserve"> -2 &lt; DW +2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D49D719" w14:textId="78139F09" w:rsidR="00C24DE4" w:rsidRPr="006C0AE9" w:rsidRDefault="008228DE" w:rsidP="0013664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IV.6 Durbin Watson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3"/>
        <w:gridCol w:w="915"/>
        <w:gridCol w:w="1463"/>
        <w:gridCol w:w="1463"/>
        <w:gridCol w:w="1831"/>
        <w:gridCol w:w="2197"/>
      </w:tblGrid>
      <w:tr w:rsidR="002D2145" w:rsidRPr="002D2145" w14:paraId="71EED372" w14:textId="77777777" w:rsidTr="003F48BC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40D9C3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 xml:space="preserve">Model </w:t>
            </w:r>
            <w:proofErr w:type="spellStart"/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Summary</w:t>
            </w: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en-US"/>
              </w:rPr>
              <w:t>b</w:t>
            </w:r>
            <w:proofErr w:type="spellEnd"/>
          </w:p>
        </w:tc>
      </w:tr>
      <w:tr w:rsidR="002D2145" w:rsidRPr="002D2145" w14:paraId="7D2056CF" w14:textId="77777777" w:rsidTr="009A5C80">
        <w:trPr>
          <w:cantSplit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32B2CC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Model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023C04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R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C51B53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R Square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B62FFE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Adjusted R Square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5C123F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Std. Error of the Estimate</w:t>
            </w:r>
          </w:p>
        </w:tc>
        <w:tc>
          <w:tcPr>
            <w:tcW w:w="11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34AEBD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Durbin-Watson</w:t>
            </w:r>
          </w:p>
        </w:tc>
      </w:tr>
      <w:tr w:rsidR="002D2145" w:rsidRPr="002D2145" w14:paraId="02E0FB66" w14:textId="77777777" w:rsidTr="009A5C80">
        <w:trPr>
          <w:cantSplit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AF4559" w14:textId="77777777" w:rsidR="002D2145" w:rsidRPr="003F48BC" w:rsidRDefault="002D2145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B0454CD" w14:textId="11368949" w:rsidR="002D2145" w:rsidRPr="003F48BC" w:rsidRDefault="00E40C54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0,</w:t>
            </w:r>
            <w:r w:rsidR="002D2145"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355</w:t>
            </w:r>
            <w:r w:rsidR="002D2145" w:rsidRPr="003F48BC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a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3624C7" w14:textId="73C953B7" w:rsidR="002D2145" w:rsidRPr="003F48BC" w:rsidRDefault="00E40C54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0,</w:t>
            </w:r>
            <w:r w:rsidR="002D2145"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126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82D93C6" w14:textId="1A32B3D9" w:rsidR="002D2145" w:rsidRPr="003F48BC" w:rsidRDefault="00E40C54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0,</w:t>
            </w:r>
            <w:r w:rsidR="002D2145"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091</w:t>
            </w:r>
          </w:p>
        </w:tc>
        <w:tc>
          <w:tcPr>
            <w:tcW w:w="9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78AF696" w14:textId="20160D4F" w:rsidR="002D2145" w:rsidRPr="003F48BC" w:rsidRDefault="00E40C54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0,</w:t>
            </w:r>
            <w:r w:rsidR="002D2145"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91290</w:t>
            </w:r>
          </w:p>
        </w:tc>
        <w:tc>
          <w:tcPr>
            <w:tcW w:w="11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922B0AF" w14:textId="4531B233" w:rsidR="002D2145" w:rsidRPr="003F48BC" w:rsidRDefault="002D2145" w:rsidP="009A5C80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  <w:r w:rsidR="00E40C54"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,</w:t>
            </w: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330</w:t>
            </w:r>
          </w:p>
        </w:tc>
      </w:tr>
      <w:tr w:rsidR="002D2145" w:rsidRPr="002D2145" w14:paraId="3EAD3ACD" w14:textId="77777777" w:rsidTr="003F48BC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C193905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a. Predictors: (Constant), DER, QR, ROE</w:t>
            </w:r>
          </w:p>
        </w:tc>
      </w:tr>
      <w:tr w:rsidR="002D2145" w:rsidRPr="002D2145" w14:paraId="52DFD60A" w14:textId="77777777" w:rsidTr="003F48BC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6B5ADF9" w14:textId="77777777" w:rsidR="002D2145" w:rsidRPr="003F48BC" w:rsidRDefault="002D2145" w:rsidP="002D214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F48BC">
              <w:rPr>
                <w:rFonts w:ascii="Times New Roman" w:hAnsi="Times New Roman" w:cs="Times New Roman"/>
                <w:color w:val="000000" w:themeColor="text1"/>
                <w:lang w:val="en-US"/>
              </w:rPr>
              <w:t>b. Dependent Variable: ZSCORE1</w:t>
            </w:r>
          </w:p>
        </w:tc>
      </w:tr>
    </w:tbl>
    <w:p w14:paraId="3ABE2291" w14:textId="22473C7B" w:rsidR="002D2145" w:rsidRDefault="00982BD5" w:rsidP="002447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094B0BC5" w14:textId="6D0F43FA" w:rsidR="007C7031" w:rsidRPr="007C7031" w:rsidRDefault="007C7031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>asil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output di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E04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401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6C77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69FD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="00EF6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>Durbin-Watson</w:t>
      </w:r>
      <w:r w:rsidR="00270108">
        <w:rPr>
          <w:rFonts w:ascii="Times New Roman" w:hAnsi="Times New Roman" w:cs="Times New Roman"/>
          <w:sz w:val="24"/>
          <w:szCs w:val="24"/>
          <w:lang w:val="en-US"/>
        </w:rPr>
        <w:t xml:space="preserve"> (DW)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108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199">
        <w:rPr>
          <w:rFonts w:ascii="Times New Roman" w:hAnsi="Times New Roman" w:cs="Times New Roman"/>
          <w:sz w:val="24"/>
          <w:szCs w:val="24"/>
          <w:lang w:val="en-US"/>
        </w:rPr>
        <w:t>1,330</w:t>
      </w:r>
      <w:r w:rsidR="006058D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58D6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="006058D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DW &lt; 2,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871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714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7031">
        <w:rPr>
          <w:rFonts w:ascii="Times New Roman" w:hAnsi="Times New Roman" w:cs="Times New Roman"/>
          <w:sz w:val="24"/>
          <w:szCs w:val="24"/>
          <w:lang w:val="en-US"/>
        </w:rPr>
        <w:t>autokorelasi</w:t>
      </w:r>
      <w:proofErr w:type="spellEnd"/>
      <w:r w:rsidRPr="007C70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05C864" w14:textId="3D6EE120" w:rsidR="00466531" w:rsidRPr="00BF10F4" w:rsidRDefault="00466531" w:rsidP="00986B09">
      <w:pPr>
        <w:pStyle w:val="Heading4"/>
        <w:numPr>
          <w:ilvl w:val="3"/>
          <w:numId w:val="21"/>
        </w:numPr>
        <w:spacing w:line="480" w:lineRule="auto"/>
        <w:ind w:left="851" w:hanging="851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BF10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Heteroskedastisitas</w:t>
      </w:r>
      <w:proofErr w:type="spellEnd"/>
    </w:p>
    <w:p w14:paraId="2B7DB3D5" w14:textId="77777777" w:rsidR="00986B09" w:rsidRDefault="00772ABA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Uji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ketidaksamaan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residual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yang lain. Jika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residual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. Model yang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terbebas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kata lain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homoskedastisitas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lastRenderedPageBreak/>
        <w:t>yaitu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residual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, oleh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diperuntu</w:t>
      </w:r>
      <w:r w:rsidR="0080132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72ABA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132A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1B8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6661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1B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055D">
        <w:rPr>
          <w:rFonts w:ascii="Times New Roman" w:hAnsi="Times New Roman" w:cs="Times New Roman"/>
          <w:i/>
          <w:iCs/>
          <w:sz w:val="24"/>
          <w:szCs w:val="24"/>
          <w:lang w:val="en-US"/>
        </w:rPr>
        <w:t>scatterplot</w:t>
      </w:r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60BC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(ZPRED)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residualnya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(SRESID),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signifikansi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72A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2AB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2ABA">
        <w:rPr>
          <w:rFonts w:ascii="Times New Roman" w:hAnsi="Times New Roman" w:cs="Times New Roman"/>
          <w:sz w:val="24"/>
          <w:szCs w:val="24"/>
        </w:rPr>
        <w:t>α = 0,05.</w:t>
      </w:r>
    </w:p>
    <w:p w14:paraId="52E53D25" w14:textId="692AD6C2" w:rsidR="00C24DE4" w:rsidRDefault="00D63C1C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Dasar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analisisnya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55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C20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55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C20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55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C205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(1)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bergelombang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melebar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menyempit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mengindikasikan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, (2)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dan di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angkat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0 pada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jelasnya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3C1C">
        <w:rPr>
          <w:rFonts w:ascii="Times New Roman" w:hAnsi="Times New Roman" w:cs="Times New Roman"/>
          <w:i/>
          <w:iCs/>
          <w:sz w:val="24"/>
          <w:szCs w:val="24"/>
          <w:lang w:val="en-US"/>
        </w:rPr>
        <w:t>scatterplot</w:t>
      </w:r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3C1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63C1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9381BF" w14:textId="5137880F" w:rsidR="00F926F1" w:rsidRDefault="00F926F1" w:rsidP="005D6A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0F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DCA6C4" wp14:editId="48F6768F">
            <wp:extent cx="4505877" cy="26500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21" cy="26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DC56" w14:textId="3CE54033" w:rsidR="00F926F1" w:rsidRDefault="00F926F1" w:rsidP="00986B0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0A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Gambar: 4.6 </w:t>
      </w:r>
      <w:r w:rsidRPr="006C0AE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Scatterplot</w:t>
      </w:r>
    </w:p>
    <w:p w14:paraId="0D7773F7" w14:textId="77777777" w:rsidR="00986B09" w:rsidRDefault="00C24DE4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scatterplot di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SRESID dan ZPRED di mana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diprediksi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dan X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residual</w:t>
      </w:r>
      <w:r w:rsidR="00F903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(Y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sesungguhnya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titik-titik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menyebar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0 pada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pada model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6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E38E23" w14:textId="4BAA330B" w:rsidR="00C24DE4" w:rsidRDefault="00C24DE4" w:rsidP="00986B09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lastRenderedPageBreak/>
        <w:t>Berdasarkan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klasik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simpulan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terdistribusi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normal,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multikolinearitas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heteroskedastisitas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autokorelasi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, data yang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 xml:space="preserve"> linear </w:t>
      </w:r>
      <w:proofErr w:type="spellStart"/>
      <w:r w:rsidRPr="00C24DE4"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 w:rsidRPr="00C24D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2372F9" w14:textId="585DE2C1" w:rsidR="00466531" w:rsidRPr="00BF10F4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Analisis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Hasil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Penelitian</w:t>
      </w:r>
      <w:proofErr w:type="spellEnd"/>
    </w:p>
    <w:p w14:paraId="24D0EF77" w14:textId="4AB868BE" w:rsidR="00466531" w:rsidRPr="00BF10F4" w:rsidRDefault="00CF16F9" w:rsidP="002447E1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Analisi</w:t>
      </w:r>
      <w:r w:rsidR="00C76AFD">
        <w:rPr>
          <w:rFonts w:ascii="Times New Roman" w:hAnsi="Times New Roman" w:cs="Times New Roman"/>
          <w:b/>
          <w:bCs/>
          <w:color w:val="auto"/>
          <w:lang w:val="en-US"/>
        </w:rPr>
        <w:t>s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Regresi</w:t>
      </w:r>
      <w:proofErr w:type="spellEnd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Linier </w:t>
      </w:r>
      <w:proofErr w:type="spellStart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Sederhana</w:t>
      </w:r>
      <w:proofErr w:type="spellEnd"/>
    </w:p>
    <w:p w14:paraId="039900F7" w14:textId="5A5D4657" w:rsidR="00124973" w:rsidRPr="00A81D47" w:rsidRDefault="009210E8" w:rsidP="002447E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72E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9E7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971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1C4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0A6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="00C100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100A6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08A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parsial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7655" w:rsidRPr="00A81D4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rendahnya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Dalam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hal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ini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>,</w:t>
      </w:r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akan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dengan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menggunakan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hasil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analisis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regresi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linier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sederhana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D31C0C">
        <w:rPr>
          <w:rStyle w:val="FontStyle43"/>
          <w:i w:val="0"/>
          <w:iCs w:val="0"/>
          <w:sz w:val="24"/>
          <w:szCs w:val="24"/>
        </w:rPr>
        <w:t>diketahui</w:t>
      </w:r>
      <w:proofErr w:type="spellEnd"/>
      <w:r w:rsidR="00D31C0C">
        <w:rPr>
          <w:rStyle w:val="FontStyle43"/>
          <w:i w:val="0"/>
          <w:iCs w:val="0"/>
          <w:sz w:val="24"/>
          <w:szCs w:val="24"/>
        </w:rPr>
        <w:t xml:space="preserve"> dan </w:t>
      </w:r>
      <w:proofErr w:type="spellStart"/>
      <w:r w:rsidR="00C100A6">
        <w:rPr>
          <w:rStyle w:val="FontStyle43"/>
          <w:i w:val="0"/>
          <w:iCs w:val="0"/>
          <w:sz w:val="24"/>
          <w:szCs w:val="24"/>
        </w:rPr>
        <w:t>dijelaskan</w:t>
      </w:r>
      <w:proofErr w:type="spellEnd"/>
      <w:r w:rsidR="00C100A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bagaimana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C945D6">
        <w:rPr>
          <w:rStyle w:val="FontStyle43"/>
          <w:sz w:val="24"/>
          <w:szCs w:val="24"/>
        </w:rPr>
        <w:t xml:space="preserve">return </w:t>
      </w:r>
      <w:r w:rsidR="00C945D6" w:rsidRPr="00A81D47">
        <w:rPr>
          <w:rStyle w:val="FontStyle43"/>
          <w:sz w:val="24"/>
          <w:szCs w:val="24"/>
        </w:rPr>
        <w:t>o</w:t>
      </w:r>
      <w:r w:rsidR="00C945D6">
        <w:rPr>
          <w:rStyle w:val="FontStyle43"/>
          <w:sz w:val="24"/>
          <w:szCs w:val="24"/>
        </w:rPr>
        <w:t>n equity</w:t>
      </w:r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(QR)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secara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parsial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memberikan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pengaruh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tinggi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atau</w:t>
      </w:r>
      <w:proofErr w:type="spellEnd"/>
      <w:r w:rsidR="00C945D6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>
        <w:rPr>
          <w:rStyle w:val="FontStyle43"/>
          <w:i w:val="0"/>
          <w:iCs w:val="0"/>
          <w:sz w:val="24"/>
          <w:szCs w:val="24"/>
        </w:rPr>
        <w:t>rendahnya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C945D6" w:rsidRPr="00A81D47">
        <w:rPr>
          <w:rStyle w:val="FontStyle43"/>
          <w:sz w:val="24"/>
          <w:szCs w:val="24"/>
        </w:rPr>
        <w:t>financial distress</w:t>
      </w:r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="00C945D6"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="00C945D6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C945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C945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C945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C945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C945D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C945D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C945D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A81D47"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263E138D" w14:textId="35969AEE" w:rsidR="00124973" w:rsidRPr="007B19F5" w:rsidRDefault="00124973" w:rsidP="002447E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IV.5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on Equity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(ROE)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="001405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40533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(Z-</w:t>
      </w:r>
      <w:r w:rsidR="007B19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Score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6"/>
        <w:gridCol w:w="898"/>
        <w:gridCol w:w="1101"/>
        <w:gridCol w:w="1823"/>
        <w:gridCol w:w="1818"/>
        <w:gridCol w:w="972"/>
        <w:gridCol w:w="924"/>
      </w:tblGrid>
      <w:tr w:rsidR="00D27F4A" w:rsidRPr="00862B68" w14:paraId="3399F45A" w14:textId="77777777" w:rsidTr="00A901F5">
        <w:tc>
          <w:tcPr>
            <w:tcW w:w="962" w:type="pct"/>
            <w:vMerge w:val="restart"/>
            <w:tcBorders>
              <w:left w:val="nil"/>
              <w:right w:val="nil"/>
            </w:tcBorders>
            <w:vAlign w:val="center"/>
          </w:tcPr>
          <w:p w14:paraId="344351E3" w14:textId="247EB00A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4038" w:type="pct"/>
            <w:gridSpan w:val="6"/>
            <w:tcBorders>
              <w:left w:val="nil"/>
              <w:right w:val="nil"/>
            </w:tcBorders>
          </w:tcPr>
          <w:p w14:paraId="16541AEF" w14:textId="3816836C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D27F4A" w:rsidRPr="00862B68" w14:paraId="31EDFB1F" w14:textId="77777777" w:rsidTr="00A901F5">
        <w:tc>
          <w:tcPr>
            <w:tcW w:w="96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DA072D" w14:textId="3BDB651C" w:rsidR="00D27F4A" w:rsidRPr="00862B68" w:rsidRDefault="00D27F4A" w:rsidP="00D27F4A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</w:p>
        </w:tc>
        <w:tc>
          <w:tcPr>
            <w:tcW w:w="481" w:type="pct"/>
            <w:tcBorders>
              <w:left w:val="nil"/>
              <w:right w:val="nil"/>
            </w:tcBorders>
            <w:vAlign w:val="center"/>
          </w:tcPr>
          <w:p w14:paraId="68520DD4" w14:textId="06EFAAEF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590" w:type="pct"/>
            <w:tcBorders>
              <w:left w:val="nil"/>
              <w:right w:val="nil"/>
            </w:tcBorders>
            <w:vAlign w:val="center"/>
          </w:tcPr>
          <w:p w14:paraId="2EE97EF8" w14:textId="3E922058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 Square</w:t>
            </w:r>
          </w:p>
        </w:tc>
        <w:tc>
          <w:tcPr>
            <w:tcW w:w="977" w:type="pct"/>
            <w:tcBorders>
              <w:left w:val="nil"/>
              <w:right w:val="nil"/>
            </w:tcBorders>
            <w:vAlign w:val="center"/>
          </w:tcPr>
          <w:p w14:paraId="1FE021C0" w14:textId="40B82998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974" w:type="pct"/>
            <w:tcBorders>
              <w:left w:val="nil"/>
              <w:right w:val="nil"/>
            </w:tcBorders>
            <w:vAlign w:val="center"/>
          </w:tcPr>
          <w:p w14:paraId="44054C1B" w14:textId="3321D399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521" w:type="pct"/>
            <w:tcBorders>
              <w:left w:val="nil"/>
              <w:right w:val="nil"/>
            </w:tcBorders>
            <w:vAlign w:val="center"/>
          </w:tcPr>
          <w:p w14:paraId="1A458BFE" w14:textId="01A6DD98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</w:t>
            </w:r>
          </w:p>
        </w:tc>
        <w:tc>
          <w:tcPr>
            <w:tcW w:w="494" w:type="pct"/>
            <w:tcBorders>
              <w:left w:val="nil"/>
              <w:right w:val="nil"/>
            </w:tcBorders>
            <w:vAlign w:val="center"/>
          </w:tcPr>
          <w:p w14:paraId="79183D20" w14:textId="47606621" w:rsidR="00D27F4A" w:rsidRPr="00862B68" w:rsidRDefault="00AA180C" w:rsidP="00D27F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</w:tr>
      <w:tr w:rsidR="00D27F4A" w:rsidRPr="00862B68" w14:paraId="14CE0ABA" w14:textId="77777777" w:rsidTr="00A901F5">
        <w:tc>
          <w:tcPr>
            <w:tcW w:w="96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5593D8" w14:textId="51A17817" w:rsidR="00D27F4A" w:rsidRPr="00862B68" w:rsidRDefault="00D27F4A" w:rsidP="00D27F4A">
            <w:pPr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i/>
                <w:iCs/>
                <w:lang w:val="en-US"/>
              </w:rPr>
              <w:t>Return on Equity</w:t>
            </w:r>
            <w:r w:rsidR="000B1749" w:rsidRPr="00862B68">
              <w:rPr>
                <w:rFonts w:ascii="Times New Roman" w:hAnsi="Times New Roman" w:cs="Times New Roman"/>
                <w:lang w:val="en-US"/>
              </w:rPr>
              <w:t xml:space="preserve"> (ROE)</w:t>
            </w:r>
          </w:p>
        </w:tc>
        <w:tc>
          <w:tcPr>
            <w:tcW w:w="4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158215" w14:textId="75CFAB32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0,131</w:t>
            </w:r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2C5DD0" w14:textId="3F7A05D4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0,017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17A38B" w14:textId="4E381090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0,460</w:t>
            </w:r>
          </w:p>
        </w:tc>
        <w:tc>
          <w:tcPr>
            <w:tcW w:w="9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E9E111" w14:textId="0DE97513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0,008</w:t>
            </w: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6C0D49" w14:textId="4AC65C14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0,248</w:t>
            </w:r>
          </w:p>
        </w:tc>
        <w:tc>
          <w:tcPr>
            <w:tcW w:w="49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4687A2" w14:textId="738B9FCB" w:rsidR="00D27F4A" w:rsidRPr="00862B68" w:rsidRDefault="00D27F4A" w:rsidP="00D27F4A">
            <w:pPr>
              <w:jc w:val="center"/>
              <w:rPr>
                <w:rFonts w:ascii="Times New Roman" w:hAnsi="Times New Roman" w:cs="Times New Roman"/>
              </w:rPr>
            </w:pPr>
            <w:r w:rsidRPr="00862B68">
              <w:rPr>
                <w:rFonts w:ascii="Times New Roman" w:hAnsi="Times New Roman" w:cs="Times New Roman"/>
              </w:rPr>
              <w:t>0,05</w:t>
            </w:r>
          </w:p>
        </w:tc>
      </w:tr>
      <w:tr w:rsidR="00D27F4A" w:rsidRPr="00862B68" w14:paraId="540CB9A6" w14:textId="77777777" w:rsidTr="00A901F5">
        <w:tc>
          <w:tcPr>
            <w:tcW w:w="5000" w:type="pct"/>
            <w:gridSpan w:val="7"/>
            <w:tcBorders>
              <w:left w:val="nil"/>
              <w:right w:val="nil"/>
            </w:tcBorders>
          </w:tcPr>
          <w:p w14:paraId="2136F2C8" w14:textId="08A84D05" w:rsidR="00D27F4A" w:rsidRPr="00862B68" w:rsidRDefault="00D27F4A" w:rsidP="0073731D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Signifikan</w:t>
            </w:r>
            <w:proofErr w:type="spellEnd"/>
          </w:p>
        </w:tc>
      </w:tr>
      <w:tr w:rsidR="00D27F4A" w:rsidRPr="00862B68" w14:paraId="416A3C14" w14:textId="77777777" w:rsidTr="00A901F5">
        <w:tc>
          <w:tcPr>
            <w:tcW w:w="5000" w:type="pct"/>
            <w:gridSpan w:val="7"/>
            <w:tcBorders>
              <w:left w:val="nil"/>
              <w:right w:val="nil"/>
            </w:tcBorders>
          </w:tcPr>
          <w:p w14:paraId="19F0AEAF" w14:textId="0C091B9D" w:rsidR="00D27F4A" w:rsidRPr="00862B68" w:rsidRDefault="00D27F4A" w:rsidP="0073731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hitung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tabel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= 1.164 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>1.665</w:t>
            </w:r>
          </w:p>
        </w:tc>
      </w:tr>
    </w:tbl>
    <w:p w14:paraId="06E7C0DB" w14:textId="664BA0DE" w:rsidR="0073731D" w:rsidRPr="003E3A85" w:rsidRDefault="002E286D" w:rsidP="002447E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="008F02F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1DF2631D" w14:textId="77777777" w:rsidR="00A901F5" w:rsidRDefault="002177F6" w:rsidP="00A901F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A85">
        <w:rPr>
          <w:rFonts w:ascii="Times New Roman" w:hAnsi="Times New Roman" w:cs="Times New Roman"/>
          <w:sz w:val="24"/>
          <w:szCs w:val="24"/>
          <w:lang w:val="en-US"/>
        </w:rPr>
        <w:t>Berdas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>arkan</w:t>
      </w:r>
      <w:proofErr w:type="spellEnd"/>
      <w:r w:rsidR="003E4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69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3E4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691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3E46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4691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3E4691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3E4691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IV.5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7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574E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0,131 yang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731D" w:rsidRPr="00A81D4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12497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7A63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167A63" w:rsidRPr="00A81D47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620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3895" w:rsidRPr="00A81D47">
        <w:rPr>
          <w:rFonts w:ascii="Times New Roman" w:hAnsi="Times New Roman" w:cs="Times New Roman"/>
          <w:i/>
          <w:sz w:val="24"/>
          <w:szCs w:val="24"/>
        </w:rPr>
        <w:t>return on equity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A0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(R</w:t>
      </w:r>
      <w:r w:rsidR="00353895" w:rsidRPr="00A81D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0.017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1,70%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C5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52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6B5052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9</w:t>
      </w:r>
      <w:r w:rsidR="005D1FC2">
        <w:rPr>
          <w:rFonts w:ascii="Times New Roman" w:hAnsi="Times New Roman" w:cs="Times New Roman"/>
          <w:sz w:val="24"/>
          <w:szCs w:val="24"/>
        </w:rPr>
        <w:t>8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,30%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>.</w:t>
      </w:r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0,05. Karena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Sig (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E32A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E32AB">
        <w:rPr>
          <w:rFonts w:ascii="Times New Roman" w:hAnsi="Times New Roman" w:cs="Times New Roman"/>
          <w:sz w:val="24"/>
          <w:szCs w:val="24"/>
        </w:rPr>
        <w:t xml:space="preserve"> </w:t>
      </w:r>
      <w:r w:rsidR="008C4221">
        <w:rPr>
          <w:rFonts w:ascii="Times New Roman" w:hAnsi="Times New Roman" w:cs="Times New Roman"/>
          <w:sz w:val="24"/>
          <w:szCs w:val="24"/>
        </w:rPr>
        <w:t xml:space="preserve">0,248 </w:t>
      </w:r>
      <w:r w:rsidR="005E32AB">
        <w:rPr>
          <w:rFonts w:ascii="Times New Roman" w:hAnsi="Times New Roman" w:cs="Times New Roman"/>
          <w:sz w:val="24"/>
          <w:szCs w:val="24"/>
        </w:rPr>
        <w:t>dan</w:t>
      </w:r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22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8C4221">
        <w:rPr>
          <w:rFonts w:ascii="Times New Roman" w:hAnsi="Times New Roman" w:cs="Times New Roman"/>
          <w:sz w:val="24"/>
          <w:szCs w:val="24"/>
        </w:rPr>
        <w:t xml:space="preserve"> </w:t>
      </w:r>
      <w:r w:rsidR="008C4221" w:rsidRPr="00F6523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8C4221">
        <w:rPr>
          <w:rFonts w:ascii="Times New Roman" w:hAnsi="Times New Roman" w:cs="Times New Roman"/>
          <w:sz w:val="24"/>
          <w:szCs w:val="24"/>
        </w:rPr>
        <w:t>.</w:t>
      </w:r>
    </w:p>
    <w:p w14:paraId="0E0EE43F" w14:textId="132C1A1C" w:rsidR="007A0644" w:rsidRDefault="007A0644" w:rsidP="00A901F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IV.6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81D47">
        <w:rPr>
          <w:rFonts w:ascii="Times New Roman" w:hAnsi="Times New Roman" w:cs="Times New Roman"/>
          <w:sz w:val="24"/>
          <w:szCs w:val="24"/>
        </w:rPr>
        <w:t>ersamaan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FDF6F4" w14:textId="27E9A8A3" w:rsidR="007A0644" w:rsidRDefault="00353895" w:rsidP="000E73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D47">
        <w:rPr>
          <w:rFonts w:ascii="Times New Roman" w:hAnsi="Times New Roman" w:cs="Times New Roman"/>
          <w:sz w:val="24"/>
          <w:szCs w:val="24"/>
        </w:rPr>
        <w:t xml:space="preserve">Y </w:t>
      </w:r>
      <w:r w:rsidR="00FF2CC3" w:rsidRPr="00A81D47">
        <w:rPr>
          <w:rFonts w:ascii="Times New Roman" w:hAnsi="Times New Roman" w:cs="Times New Roman"/>
          <w:sz w:val="24"/>
          <w:szCs w:val="24"/>
        </w:rPr>
        <w:t>=</w:t>
      </w:r>
      <w:r w:rsidR="00FF2CC3">
        <w:rPr>
          <w:rFonts w:ascii="Times New Roman" w:hAnsi="Times New Roman" w:cs="Times New Roman"/>
          <w:sz w:val="24"/>
          <w:szCs w:val="24"/>
        </w:rPr>
        <w:t xml:space="preserve"> a + b</w:t>
      </w:r>
      <w:r w:rsidR="008F2756">
        <w:rPr>
          <w:rFonts w:ascii="Times New Roman" w:hAnsi="Times New Roman" w:cs="Times New Roman"/>
          <w:sz w:val="24"/>
          <w:szCs w:val="24"/>
        </w:rPr>
        <w:t>X</w:t>
      </w:r>
      <w:r w:rsidR="00664DC0" w:rsidRPr="00664DC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F2CC3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</w:rPr>
        <w:t>= 0,460 + 0,008X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235CB953" w14:textId="77777777" w:rsidR="00A901F5" w:rsidRDefault="007A0644" w:rsidP="00A901F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3895" w:rsidRPr="00A81D47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353895" w:rsidRPr="00A81D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F2DDB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i</w:t>
      </w:r>
      <w:r w:rsidR="008E7843">
        <w:rPr>
          <w:rFonts w:ascii="Times New Roman" w:hAnsi="Times New Roman" w:cs="Times New Roman"/>
          <w:sz w:val="24"/>
          <w:szCs w:val="24"/>
        </w:rPr>
        <w:t>ndeks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0,460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36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D436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C54443">
        <w:rPr>
          <w:rFonts w:ascii="Times New Roman" w:hAnsi="Times New Roman" w:cs="Times New Roman"/>
          <w:i/>
          <w:iCs/>
          <w:sz w:val="24"/>
          <w:szCs w:val="24"/>
        </w:rPr>
        <w:t xml:space="preserve">quick ratio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84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C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B5052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52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finan</w:t>
      </w:r>
      <w:r w:rsidR="00007C58" w:rsidRPr="00A81D4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353895" w:rsidRPr="00A81D47">
        <w:rPr>
          <w:rFonts w:ascii="Times New Roman" w:hAnsi="Times New Roman" w:cs="Times New Roman"/>
          <w:i/>
          <w:iCs/>
          <w:sz w:val="24"/>
          <w:szCs w:val="24"/>
        </w:rPr>
        <w:t>ial distress</w:t>
      </w:r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052"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B5052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353895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895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611B44">
        <w:rPr>
          <w:rFonts w:ascii="Times New Roman" w:hAnsi="Times New Roman" w:cs="Times New Roman"/>
          <w:sz w:val="24"/>
          <w:szCs w:val="24"/>
        </w:rPr>
        <w:t xml:space="preserve"> 0.460. </w:t>
      </w:r>
      <w:proofErr w:type="spellStart"/>
      <w:r w:rsidR="00611B44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611B44">
        <w:rPr>
          <w:rFonts w:ascii="Times New Roman" w:hAnsi="Times New Roman" w:cs="Times New Roman"/>
          <w:sz w:val="24"/>
          <w:szCs w:val="24"/>
        </w:rPr>
        <w:t xml:space="preserve"> </w:t>
      </w:r>
      <w:r w:rsidR="00611B44" w:rsidRPr="00611B44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611B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B4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0,008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arti</w:t>
      </w:r>
      <w:r w:rsidR="00CE21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352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CC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007C58"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C2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007C58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007C58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0,008 dan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7C58" w:rsidRPr="00A81D4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007C58" w:rsidRPr="00A81D47">
        <w:rPr>
          <w:rFonts w:ascii="Times New Roman" w:hAnsi="Times New Roman" w:cs="Times New Roman"/>
          <w:sz w:val="24"/>
          <w:szCs w:val="24"/>
        </w:rPr>
        <w:t>.</w:t>
      </w:r>
    </w:p>
    <w:p w14:paraId="3D376ECE" w14:textId="77777777" w:rsidR="00A901F5" w:rsidRDefault="00877DAE" w:rsidP="00A901F5">
      <w:pPr>
        <w:spacing w:line="480" w:lineRule="auto"/>
        <w:ind w:firstLine="709"/>
        <w:jc w:val="both"/>
        <w:rPr>
          <w:rStyle w:val="FontStyle43"/>
          <w:i w:val="0"/>
          <w:iCs w:val="0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return on equity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t</w:t>
      </w:r>
      <w:r w:rsidR="004E0D62" w:rsidRPr="004E0D62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D62">
        <w:rPr>
          <w:rFonts w:ascii="Times New Roman" w:hAnsi="Times New Roman" w:cs="Times New Roman"/>
          <w:sz w:val="24"/>
          <w:szCs w:val="24"/>
        </w:rPr>
        <w:t>di</w:t>
      </w:r>
      <w:r w:rsidRPr="00A81D4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α = 0,05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t</w:t>
      </w:r>
      <w:r w:rsidR="008212BC"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di</w:t>
      </w:r>
      <w:r w:rsidR="00F571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>
        <w:rPr>
          <w:rFonts w:ascii="Times New Roman" w:hAnsi="Times New Roman" w:cs="Times New Roman"/>
          <w:sz w:val="24"/>
          <w:szCs w:val="24"/>
        </w:rPr>
        <w:t xml:space="preserve">= 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n – </w:t>
      </w:r>
      <w:r w:rsidR="00BA4E78">
        <w:rPr>
          <w:rFonts w:ascii="Times New Roman" w:hAnsi="Times New Roman" w:cs="Times New Roman"/>
          <w:sz w:val="24"/>
          <w:szCs w:val="24"/>
        </w:rPr>
        <w:t>k</w:t>
      </w:r>
      <w:r w:rsidR="00E2588D">
        <w:rPr>
          <w:rFonts w:ascii="Times New Roman" w:hAnsi="Times New Roman" w:cs="Times New Roman"/>
          <w:sz w:val="24"/>
          <w:szCs w:val="24"/>
        </w:rPr>
        <w:t xml:space="preserve"> = </w:t>
      </w:r>
      <w:r w:rsidR="00BA4E78">
        <w:rPr>
          <w:rFonts w:ascii="Times New Roman" w:hAnsi="Times New Roman" w:cs="Times New Roman"/>
          <w:sz w:val="24"/>
          <w:szCs w:val="24"/>
        </w:rPr>
        <w:t>79</w:t>
      </w:r>
      <w:r w:rsidR="00E2588D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sz w:val="24"/>
          <w:szCs w:val="24"/>
        </w:rPr>
        <w:t>–</w:t>
      </w:r>
      <w:r w:rsidR="00E2588D">
        <w:rPr>
          <w:rFonts w:ascii="Times New Roman" w:hAnsi="Times New Roman" w:cs="Times New Roman"/>
          <w:sz w:val="24"/>
          <w:szCs w:val="24"/>
        </w:rPr>
        <w:t xml:space="preserve"> </w:t>
      </w:r>
      <w:r w:rsidR="00BA4E78">
        <w:rPr>
          <w:rFonts w:ascii="Times New Roman" w:hAnsi="Times New Roman" w:cs="Times New Roman"/>
          <w:sz w:val="24"/>
          <w:szCs w:val="24"/>
        </w:rPr>
        <w:t>4</w:t>
      </w:r>
      <w:r w:rsidR="00E2588D">
        <w:rPr>
          <w:rFonts w:ascii="Times New Roman" w:hAnsi="Times New Roman" w:cs="Times New Roman"/>
          <w:sz w:val="24"/>
          <w:szCs w:val="24"/>
        </w:rPr>
        <w:t xml:space="preserve"> = </w:t>
      </w:r>
      <w:r w:rsidR="00BA4E78">
        <w:rPr>
          <w:rFonts w:ascii="Times New Roman" w:hAnsi="Times New Roman" w:cs="Times New Roman"/>
          <w:sz w:val="24"/>
          <w:szCs w:val="24"/>
        </w:rPr>
        <w:t>75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212BC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C95FD7">
        <w:rPr>
          <w:rFonts w:ascii="Times New Roman" w:hAnsi="Times New Roman" w:cs="Times New Roman"/>
          <w:sz w:val="24"/>
          <w:szCs w:val="24"/>
        </w:rPr>
        <w:t xml:space="preserve"> 1.665.</w:t>
      </w:r>
      <w:r w:rsidR="008212B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5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45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59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F4559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4559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45594">
        <w:rPr>
          <w:rFonts w:ascii="Times New Roman" w:hAnsi="Times New Roman" w:cs="Times New Roman"/>
          <w:sz w:val="24"/>
          <w:szCs w:val="24"/>
        </w:rPr>
        <w:t xml:space="preserve"> IV.5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t</w:t>
      </w:r>
      <w:r w:rsidR="005302DC"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1,164 </w:t>
      </w:r>
      <w:r w:rsidR="00F45594">
        <w:rPr>
          <w:rFonts w:ascii="Times New Roman" w:hAnsi="Times New Roman" w:cs="Times New Roman"/>
          <w:sz w:val="24"/>
          <w:szCs w:val="24"/>
        </w:rPr>
        <w:t>dan</w:t>
      </w:r>
      <w:r w:rsidR="00EB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59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F45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02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60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04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B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0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5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5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5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541">
        <w:rPr>
          <w:rFonts w:ascii="Times New Roman" w:hAnsi="Times New Roman" w:cs="Times New Roman"/>
          <w:sz w:val="24"/>
          <w:szCs w:val="24"/>
        </w:rPr>
        <w:t>t</w:t>
      </w:r>
      <w:r w:rsidR="00D52541" w:rsidRPr="00D52541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="00D52541">
        <w:rPr>
          <w:rFonts w:ascii="Times New Roman" w:hAnsi="Times New Roman" w:cs="Times New Roman"/>
          <w:sz w:val="24"/>
          <w:szCs w:val="24"/>
        </w:rPr>
        <w:t xml:space="preserve"> 1.</w:t>
      </w:r>
      <w:r w:rsidR="00EB7043">
        <w:rPr>
          <w:rFonts w:ascii="Times New Roman" w:hAnsi="Times New Roman" w:cs="Times New Roman"/>
          <w:sz w:val="24"/>
          <w:szCs w:val="24"/>
        </w:rPr>
        <w:t>6</w:t>
      </w:r>
      <w:r w:rsidR="00D52541">
        <w:rPr>
          <w:rFonts w:ascii="Times New Roman" w:hAnsi="Times New Roman" w:cs="Times New Roman"/>
          <w:sz w:val="24"/>
          <w:szCs w:val="24"/>
        </w:rPr>
        <w:t>6</w:t>
      </w:r>
      <w:r w:rsidR="00EB7043">
        <w:rPr>
          <w:rFonts w:ascii="Times New Roman" w:hAnsi="Times New Roman" w:cs="Times New Roman"/>
          <w:sz w:val="24"/>
          <w:szCs w:val="24"/>
        </w:rPr>
        <w:t>5</w:t>
      </w:r>
      <w:r w:rsidR="00C95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234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97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C3B61">
        <w:rPr>
          <w:rFonts w:ascii="Times New Roman" w:hAnsi="Times New Roman" w:cs="Times New Roman"/>
          <w:sz w:val="24"/>
          <w:szCs w:val="24"/>
        </w:rPr>
        <w:t xml:space="preserve"> </w:t>
      </w:r>
      <w:r w:rsidR="00AC3B61">
        <w:rPr>
          <w:rFonts w:ascii="Times New Roman" w:hAnsi="Times New Roman" w:cs="Times New Roman"/>
          <w:i/>
          <w:sz w:val="24"/>
          <w:szCs w:val="24"/>
        </w:rPr>
        <w:t>r</w:t>
      </w:r>
      <w:r w:rsidR="00AC3B61" w:rsidRPr="00A81D47">
        <w:rPr>
          <w:rFonts w:ascii="Times New Roman" w:hAnsi="Times New Roman" w:cs="Times New Roman"/>
          <w:i/>
          <w:sz w:val="24"/>
          <w:szCs w:val="24"/>
        </w:rPr>
        <w:t>e</w:t>
      </w:r>
      <w:r w:rsidR="00AC3B61">
        <w:rPr>
          <w:rFonts w:ascii="Times New Roman" w:hAnsi="Times New Roman" w:cs="Times New Roman"/>
          <w:i/>
          <w:sz w:val="24"/>
          <w:szCs w:val="24"/>
        </w:rPr>
        <w:t xml:space="preserve">turn </w:t>
      </w:r>
      <w:r w:rsidR="00AC3B61" w:rsidRPr="00A81D47">
        <w:rPr>
          <w:rFonts w:ascii="Times New Roman" w:hAnsi="Times New Roman" w:cs="Times New Roman"/>
          <w:i/>
          <w:sz w:val="24"/>
          <w:szCs w:val="24"/>
        </w:rPr>
        <w:t>o</w:t>
      </w:r>
      <w:r w:rsidR="00AC3B61">
        <w:rPr>
          <w:rFonts w:ascii="Times New Roman" w:hAnsi="Times New Roman" w:cs="Times New Roman"/>
          <w:i/>
          <w:sz w:val="24"/>
          <w:szCs w:val="24"/>
        </w:rPr>
        <w:t>n</w:t>
      </w:r>
      <w:r w:rsidR="00AC3B61" w:rsidRPr="00A81D47">
        <w:rPr>
          <w:rFonts w:ascii="Times New Roman" w:hAnsi="Times New Roman" w:cs="Times New Roman"/>
          <w:i/>
          <w:sz w:val="24"/>
          <w:szCs w:val="24"/>
        </w:rPr>
        <w:t xml:space="preserve"> equity ratio</w:t>
      </w:r>
      <w:r w:rsidR="00394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A13" w:rsidRPr="00090F20">
        <w:rPr>
          <w:rFonts w:ascii="Times New Roman" w:hAnsi="Times New Roman" w:cs="Times New Roman"/>
          <w:color w:val="FF0000"/>
          <w:sz w:val="24"/>
          <w:szCs w:val="24"/>
        </w:rPr>
        <w:t>ber</w:t>
      </w:r>
      <w:r w:rsidR="005302DC" w:rsidRPr="00090F20">
        <w:rPr>
          <w:rFonts w:ascii="Times New Roman" w:hAnsi="Times New Roman" w:cs="Times New Roman"/>
          <w:color w:val="FF0000"/>
          <w:sz w:val="24"/>
          <w:szCs w:val="24"/>
        </w:rPr>
        <w:t>pengaruh</w:t>
      </w:r>
      <w:proofErr w:type="spellEnd"/>
      <w:r w:rsidR="005302DC" w:rsidRPr="00090F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D7AA7" w:rsidRPr="000D7AA7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0D7AA7" w:rsidRPr="000D7AA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D7AA7" w:rsidRPr="000D7AA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="005302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2DC"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302DC"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5302DC" w:rsidRPr="00A81D47">
        <w:rPr>
          <w:rStyle w:val="FontStyle43"/>
          <w:sz w:val="24"/>
          <w:szCs w:val="24"/>
        </w:rPr>
        <w:t>financial distress</w:t>
      </w:r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="005302DC"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5302DC"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6431A204" w14:textId="6F08BC94" w:rsidR="007F0E5B" w:rsidRDefault="007F0E5B" w:rsidP="00A901F5">
      <w:pPr>
        <w:spacing w:line="480" w:lineRule="auto"/>
        <w:ind w:firstLine="709"/>
        <w:jc w:val="both"/>
        <w:rPr>
          <w:rStyle w:val="FontStyle43"/>
          <w:i w:val="0"/>
          <w:iCs w:val="0"/>
          <w:sz w:val="24"/>
          <w:szCs w:val="24"/>
        </w:rPr>
      </w:pP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Selanjutnya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dijelaskan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dengan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menggunakan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10236F">
        <w:rPr>
          <w:rStyle w:val="FontStyle43"/>
          <w:i w:val="0"/>
          <w:iCs w:val="0"/>
          <w:sz w:val="24"/>
          <w:szCs w:val="24"/>
        </w:rPr>
        <w:t>hasil</w:t>
      </w:r>
      <w:proofErr w:type="spellEnd"/>
      <w:r w:rsidR="0010236F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425D78">
        <w:rPr>
          <w:rStyle w:val="FontStyle43"/>
          <w:i w:val="0"/>
          <w:iCs w:val="0"/>
          <w:sz w:val="24"/>
          <w:szCs w:val="24"/>
        </w:rPr>
        <w:t>analisis</w:t>
      </w:r>
      <w:proofErr w:type="spellEnd"/>
      <w:r w:rsidR="00425D78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regresi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linier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sederhana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bagaimana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quick ratio</w:t>
      </w:r>
      <w:r w:rsidRPr="00A81D47">
        <w:rPr>
          <w:rStyle w:val="FontStyle43"/>
          <w:i w:val="0"/>
          <w:iCs w:val="0"/>
          <w:sz w:val="24"/>
          <w:szCs w:val="24"/>
        </w:rPr>
        <w:t xml:space="preserve"> (QR) </w:t>
      </w:r>
      <w:proofErr w:type="spellStart"/>
      <w:r w:rsidR="00992412">
        <w:rPr>
          <w:rStyle w:val="FontStyle43"/>
          <w:i w:val="0"/>
          <w:iCs w:val="0"/>
          <w:sz w:val="24"/>
          <w:szCs w:val="24"/>
        </w:rPr>
        <w:t>secara</w:t>
      </w:r>
      <w:proofErr w:type="spellEnd"/>
      <w:r w:rsidR="00992412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992412">
        <w:rPr>
          <w:rStyle w:val="FontStyle43"/>
          <w:i w:val="0"/>
          <w:iCs w:val="0"/>
          <w:sz w:val="24"/>
          <w:szCs w:val="24"/>
        </w:rPr>
        <w:t>parsial</w:t>
      </w:r>
      <w:proofErr w:type="spellEnd"/>
      <w:r w:rsidR="00992412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memberikan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pengaruh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5D127D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D127D">
        <w:rPr>
          <w:rStyle w:val="FontStyle43"/>
          <w:i w:val="0"/>
          <w:iCs w:val="0"/>
          <w:sz w:val="24"/>
          <w:szCs w:val="24"/>
        </w:rPr>
        <w:t>tinggi</w:t>
      </w:r>
      <w:proofErr w:type="spellEnd"/>
      <w:r w:rsidR="005D127D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D127D">
        <w:rPr>
          <w:rStyle w:val="FontStyle43"/>
          <w:i w:val="0"/>
          <w:iCs w:val="0"/>
          <w:sz w:val="24"/>
          <w:szCs w:val="24"/>
        </w:rPr>
        <w:t>atau</w:t>
      </w:r>
      <w:proofErr w:type="spellEnd"/>
      <w:r w:rsidR="005D127D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5D127D">
        <w:rPr>
          <w:rStyle w:val="FontStyle43"/>
          <w:i w:val="0"/>
          <w:iCs w:val="0"/>
          <w:sz w:val="24"/>
          <w:szCs w:val="24"/>
        </w:rPr>
        <w:t>rendahnya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financial distress</w:t>
      </w:r>
      <w:r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. </w:t>
      </w:r>
    </w:p>
    <w:p w14:paraId="040F7385" w14:textId="7870E2D7" w:rsidR="00614DFC" w:rsidRPr="00A81D47" w:rsidRDefault="00614DFC" w:rsidP="00A901F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Quick Ratio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QR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="005457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4572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  <w:r w:rsidR="007B19F5" w:rsidRP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(Z-</w:t>
      </w:r>
      <w:r w:rsidR="007B19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Score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6"/>
        <w:gridCol w:w="898"/>
        <w:gridCol w:w="1101"/>
        <w:gridCol w:w="1823"/>
        <w:gridCol w:w="1818"/>
        <w:gridCol w:w="972"/>
        <w:gridCol w:w="924"/>
      </w:tblGrid>
      <w:tr w:rsidR="00614DFC" w:rsidRPr="00862B68" w14:paraId="7DE0C4B6" w14:textId="77777777" w:rsidTr="00A901F5">
        <w:tc>
          <w:tcPr>
            <w:tcW w:w="962" w:type="pct"/>
            <w:vMerge w:val="restart"/>
            <w:tcBorders>
              <w:left w:val="nil"/>
              <w:right w:val="nil"/>
            </w:tcBorders>
            <w:vAlign w:val="center"/>
          </w:tcPr>
          <w:p w14:paraId="5FCF692A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4038" w:type="pct"/>
            <w:gridSpan w:val="6"/>
            <w:tcBorders>
              <w:left w:val="nil"/>
              <w:right w:val="nil"/>
            </w:tcBorders>
          </w:tcPr>
          <w:p w14:paraId="330264C6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614DFC" w:rsidRPr="00862B68" w14:paraId="1DCB7449" w14:textId="77777777" w:rsidTr="00A901F5">
        <w:tc>
          <w:tcPr>
            <w:tcW w:w="96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E77094" w14:textId="77777777" w:rsidR="00614DFC" w:rsidRPr="00862B68" w:rsidRDefault="00614DFC" w:rsidP="00751352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</w:p>
        </w:tc>
        <w:tc>
          <w:tcPr>
            <w:tcW w:w="481" w:type="pct"/>
            <w:tcBorders>
              <w:left w:val="nil"/>
              <w:right w:val="nil"/>
            </w:tcBorders>
            <w:vAlign w:val="center"/>
          </w:tcPr>
          <w:p w14:paraId="73D6BE58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590" w:type="pct"/>
            <w:tcBorders>
              <w:left w:val="nil"/>
              <w:right w:val="nil"/>
            </w:tcBorders>
            <w:vAlign w:val="center"/>
          </w:tcPr>
          <w:p w14:paraId="10513B58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 Square</w:t>
            </w:r>
          </w:p>
        </w:tc>
        <w:tc>
          <w:tcPr>
            <w:tcW w:w="977" w:type="pct"/>
            <w:tcBorders>
              <w:left w:val="nil"/>
              <w:right w:val="nil"/>
            </w:tcBorders>
            <w:vAlign w:val="center"/>
          </w:tcPr>
          <w:p w14:paraId="175E5EBC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974" w:type="pct"/>
            <w:tcBorders>
              <w:left w:val="nil"/>
              <w:right w:val="nil"/>
            </w:tcBorders>
            <w:vAlign w:val="center"/>
          </w:tcPr>
          <w:p w14:paraId="1A651BE1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521" w:type="pct"/>
            <w:tcBorders>
              <w:left w:val="nil"/>
              <w:right w:val="nil"/>
            </w:tcBorders>
            <w:vAlign w:val="center"/>
          </w:tcPr>
          <w:p w14:paraId="33EB4874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</w:t>
            </w:r>
          </w:p>
        </w:tc>
        <w:tc>
          <w:tcPr>
            <w:tcW w:w="494" w:type="pct"/>
            <w:tcBorders>
              <w:left w:val="nil"/>
              <w:right w:val="nil"/>
            </w:tcBorders>
            <w:vAlign w:val="center"/>
          </w:tcPr>
          <w:p w14:paraId="64474914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</w:tr>
      <w:tr w:rsidR="00614DFC" w:rsidRPr="00862B68" w14:paraId="6D70BFC3" w14:textId="77777777" w:rsidTr="00A901F5">
        <w:tc>
          <w:tcPr>
            <w:tcW w:w="96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38DD34" w14:textId="56DDC14F" w:rsidR="00614DFC" w:rsidRPr="00862B68" w:rsidRDefault="007B229D" w:rsidP="00751352">
            <w:pPr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i/>
                <w:iCs/>
                <w:lang w:val="en-US"/>
              </w:rPr>
              <w:t>Quick Ratio</w:t>
            </w:r>
            <w:r w:rsidR="000B1749" w:rsidRPr="00862B68">
              <w:rPr>
                <w:rFonts w:ascii="Times New Roman" w:hAnsi="Times New Roman" w:cs="Times New Roman"/>
                <w:lang w:val="en-US"/>
              </w:rPr>
              <w:t xml:space="preserve"> (QR)</w:t>
            </w:r>
          </w:p>
        </w:tc>
        <w:tc>
          <w:tcPr>
            <w:tcW w:w="4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8ACEB6" w14:textId="621402F9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0,342</w:t>
            </w:r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28E625" w14:textId="691C082B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0.117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204F7" w14:textId="68464182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0,026</w:t>
            </w:r>
          </w:p>
        </w:tc>
        <w:tc>
          <w:tcPr>
            <w:tcW w:w="9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554462" w14:textId="54ECFE38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0.444</w:t>
            </w: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2D367A" w14:textId="372CB0B9" w:rsidR="00614DFC" w:rsidRPr="00862B68" w:rsidRDefault="008A6D0F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0,002</w:t>
            </w:r>
          </w:p>
        </w:tc>
        <w:tc>
          <w:tcPr>
            <w:tcW w:w="49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8F95C0" w14:textId="77777777" w:rsidR="00614DFC" w:rsidRPr="00862B68" w:rsidRDefault="00614DFC" w:rsidP="00751352">
            <w:pPr>
              <w:jc w:val="center"/>
              <w:rPr>
                <w:rFonts w:ascii="Times New Roman" w:hAnsi="Times New Roman" w:cs="Times New Roman"/>
              </w:rPr>
            </w:pPr>
            <w:r w:rsidRPr="00862B68">
              <w:rPr>
                <w:rFonts w:ascii="Times New Roman" w:hAnsi="Times New Roman" w:cs="Times New Roman"/>
              </w:rPr>
              <w:t>0,05</w:t>
            </w:r>
          </w:p>
        </w:tc>
      </w:tr>
      <w:tr w:rsidR="00614DFC" w:rsidRPr="00862B68" w14:paraId="682DB1B5" w14:textId="77777777" w:rsidTr="00A901F5"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197993F4" w14:textId="77777777" w:rsidR="00614DFC" w:rsidRPr="00862B68" w:rsidRDefault="00614DFC" w:rsidP="00751352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Signifikan</w:t>
            </w:r>
            <w:proofErr w:type="spellEnd"/>
          </w:p>
        </w:tc>
      </w:tr>
      <w:tr w:rsidR="00614DFC" w:rsidRPr="00862B68" w14:paraId="029B73D0" w14:textId="77777777" w:rsidTr="00A901F5">
        <w:tc>
          <w:tcPr>
            <w:tcW w:w="5000" w:type="pct"/>
            <w:gridSpan w:val="7"/>
            <w:tcBorders>
              <w:left w:val="nil"/>
              <w:right w:val="nil"/>
            </w:tcBorders>
          </w:tcPr>
          <w:p w14:paraId="3C076431" w14:textId="2FA4A81E" w:rsidR="00614DFC" w:rsidRPr="00862B68" w:rsidRDefault="00614DFC" w:rsidP="0075135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hitung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&gt; </w:t>
            </w: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tabel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6D3DE5" w:rsidRPr="00862B68">
              <w:rPr>
                <w:rFonts w:ascii="Times New Roman" w:hAnsi="Times New Roman" w:cs="Times New Roman"/>
                <w:lang w:val="en-US"/>
              </w:rPr>
              <w:t>3,197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&gt;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 xml:space="preserve"> 1,665</w:t>
            </w:r>
          </w:p>
        </w:tc>
      </w:tr>
    </w:tbl>
    <w:p w14:paraId="59D251A4" w14:textId="32982588" w:rsidR="000F4C2F" w:rsidRDefault="00071E0B" w:rsidP="00441AE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5D509863" w14:textId="6E656089" w:rsidR="00E2588D" w:rsidRPr="00A81D47" w:rsidRDefault="00614DFC" w:rsidP="00A901F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lastRenderedPageBreak/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2F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A6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2F0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0A62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2F0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0A62F0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0A62F0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0A62F0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IV.</w:t>
      </w:r>
      <w:r w:rsidR="00E2588D"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373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3472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E2588D">
        <w:rPr>
          <w:rFonts w:ascii="Times New Roman" w:hAnsi="Times New Roman" w:cs="Times New Roman"/>
          <w:sz w:val="24"/>
          <w:szCs w:val="24"/>
          <w:lang w:val="en-US"/>
        </w:rPr>
        <w:t>342</w:t>
      </w:r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588D">
        <w:rPr>
          <w:rFonts w:ascii="Times New Roman" w:hAnsi="Times New Roman" w:cs="Times New Roman"/>
          <w:i/>
          <w:sz w:val="24"/>
          <w:szCs w:val="24"/>
        </w:rPr>
        <w:t>quick ratio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64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(R</w:t>
      </w:r>
      <w:r w:rsidR="00E2588D" w:rsidRPr="00A81D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0.</w:t>
      </w:r>
      <w:r w:rsidR="00790CEC">
        <w:rPr>
          <w:rFonts w:ascii="Times New Roman" w:hAnsi="Times New Roman" w:cs="Times New Roman"/>
          <w:sz w:val="24"/>
          <w:szCs w:val="24"/>
        </w:rPr>
        <w:t>1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AA689C">
        <w:rPr>
          <w:rFonts w:ascii="Times New Roman" w:hAnsi="Times New Roman" w:cs="Times New Roman"/>
          <w:i/>
          <w:sz w:val="24"/>
          <w:szCs w:val="24"/>
        </w:rPr>
        <w:t>quick ratio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1</w:t>
      </w:r>
      <w:r w:rsidR="00790CEC">
        <w:rPr>
          <w:rFonts w:ascii="Times New Roman" w:hAnsi="Times New Roman" w:cs="Times New Roman"/>
          <w:sz w:val="24"/>
          <w:szCs w:val="24"/>
        </w:rPr>
        <w:t>1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,70%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6E733D">
        <w:rPr>
          <w:rFonts w:ascii="Times New Roman" w:hAnsi="Times New Roman" w:cs="Times New Roman"/>
          <w:sz w:val="24"/>
          <w:szCs w:val="24"/>
        </w:rPr>
        <w:t>88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,30%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>.</w:t>
      </w:r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0,05. Karena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Sig (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12EB8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12EB8">
        <w:rPr>
          <w:rFonts w:ascii="Times New Roman" w:hAnsi="Times New Roman" w:cs="Times New Roman"/>
          <w:sz w:val="24"/>
          <w:szCs w:val="24"/>
        </w:rPr>
        <w:t xml:space="preserve"> </w:t>
      </w:r>
      <w:r w:rsidR="0092624C">
        <w:rPr>
          <w:rFonts w:ascii="Times New Roman" w:hAnsi="Times New Roman" w:cs="Times New Roman"/>
          <w:sz w:val="24"/>
          <w:szCs w:val="24"/>
        </w:rPr>
        <w:t xml:space="preserve">0,002 </w:t>
      </w:r>
      <w:r w:rsidR="00412EB8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24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92624C">
        <w:rPr>
          <w:rFonts w:ascii="Times New Roman" w:hAnsi="Times New Roman" w:cs="Times New Roman"/>
          <w:sz w:val="24"/>
          <w:szCs w:val="24"/>
        </w:rPr>
        <w:t xml:space="preserve"> </w:t>
      </w:r>
      <w:r w:rsidR="0092624C" w:rsidRPr="00F6523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92624C">
        <w:rPr>
          <w:rFonts w:ascii="Times New Roman" w:hAnsi="Times New Roman" w:cs="Times New Roman"/>
          <w:sz w:val="24"/>
          <w:szCs w:val="24"/>
        </w:rPr>
        <w:t>.</w:t>
      </w:r>
    </w:p>
    <w:p w14:paraId="3829F512" w14:textId="77777777" w:rsidR="00745D76" w:rsidRDefault="0029151A" w:rsidP="005C7C16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IV.6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81D47">
        <w:rPr>
          <w:rFonts w:ascii="Times New Roman" w:hAnsi="Times New Roman" w:cs="Times New Roman"/>
          <w:sz w:val="24"/>
          <w:szCs w:val="24"/>
        </w:rPr>
        <w:t>ersamaan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0FCE5" w14:textId="0A534926" w:rsidR="0029151A" w:rsidRDefault="00E2588D" w:rsidP="000E73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D47">
        <w:rPr>
          <w:rFonts w:ascii="Times New Roman" w:hAnsi="Times New Roman" w:cs="Times New Roman"/>
          <w:sz w:val="24"/>
          <w:szCs w:val="24"/>
        </w:rPr>
        <w:t xml:space="preserve">Y </w:t>
      </w:r>
      <w:r w:rsidR="00FF2CC3" w:rsidRPr="00A81D47">
        <w:rPr>
          <w:rFonts w:ascii="Times New Roman" w:hAnsi="Times New Roman" w:cs="Times New Roman"/>
          <w:sz w:val="24"/>
          <w:szCs w:val="24"/>
        </w:rPr>
        <w:t>=</w:t>
      </w:r>
      <w:r w:rsidR="00FF2CC3">
        <w:rPr>
          <w:rFonts w:ascii="Times New Roman" w:hAnsi="Times New Roman" w:cs="Times New Roman"/>
          <w:sz w:val="24"/>
          <w:szCs w:val="24"/>
        </w:rPr>
        <w:t xml:space="preserve"> a + b</w:t>
      </w:r>
      <w:r w:rsidR="008F2756">
        <w:rPr>
          <w:rFonts w:ascii="Times New Roman" w:hAnsi="Times New Roman" w:cs="Times New Roman"/>
          <w:sz w:val="24"/>
          <w:szCs w:val="24"/>
        </w:rPr>
        <w:t>X</w:t>
      </w:r>
      <w:r w:rsidR="00664DC0" w:rsidRPr="00664DC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F2CC3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</w:rPr>
        <w:t>= 0,</w:t>
      </w:r>
      <w:r w:rsidR="00E21E14">
        <w:rPr>
          <w:rFonts w:ascii="Times New Roman" w:hAnsi="Times New Roman" w:cs="Times New Roman"/>
          <w:sz w:val="24"/>
          <w:szCs w:val="24"/>
        </w:rPr>
        <w:t>026</w:t>
      </w:r>
      <w:r w:rsidRPr="00A81D47">
        <w:rPr>
          <w:rFonts w:ascii="Times New Roman" w:hAnsi="Times New Roman" w:cs="Times New Roman"/>
          <w:sz w:val="24"/>
          <w:szCs w:val="24"/>
        </w:rPr>
        <w:t xml:space="preserve"> + 0,</w:t>
      </w:r>
      <w:r w:rsidR="00E21E14">
        <w:rPr>
          <w:rFonts w:ascii="Times New Roman" w:hAnsi="Times New Roman" w:cs="Times New Roman"/>
          <w:sz w:val="24"/>
          <w:szCs w:val="24"/>
        </w:rPr>
        <w:t>444</w:t>
      </w:r>
      <w:r w:rsidRPr="00A81D47">
        <w:rPr>
          <w:rFonts w:ascii="Times New Roman" w:hAnsi="Times New Roman" w:cs="Times New Roman"/>
          <w:sz w:val="24"/>
          <w:szCs w:val="24"/>
        </w:rPr>
        <w:t>X</w:t>
      </w:r>
      <w:r w:rsidR="00E21E1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8AFC4BD" w14:textId="77777777" w:rsidR="00745D76" w:rsidRDefault="0029151A" w:rsidP="00745D7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AA689C">
        <w:rPr>
          <w:rFonts w:ascii="Times New Roman" w:hAnsi="Times New Roman" w:cs="Times New Roman"/>
          <w:i/>
          <w:sz w:val="24"/>
          <w:szCs w:val="24"/>
        </w:rPr>
        <w:t>quick ratio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882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BA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89C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0,</w:t>
      </w:r>
      <w:r w:rsidR="00D90DFD">
        <w:rPr>
          <w:rFonts w:ascii="Times New Roman" w:hAnsi="Times New Roman" w:cs="Times New Roman"/>
          <w:sz w:val="24"/>
          <w:szCs w:val="24"/>
        </w:rPr>
        <w:t>026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9C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1EB5">
        <w:rPr>
          <w:rFonts w:ascii="Times New Roman" w:hAnsi="Times New Roman" w:cs="Times New Roman"/>
          <w:sz w:val="24"/>
          <w:szCs w:val="24"/>
        </w:rPr>
        <w:t xml:space="preserve"> </w:t>
      </w:r>
      <w:r w:rsidR="0036731D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5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B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0,</w:t>
      </w:r>
      <w:r w:rsidR="00D90DFD">
        <w:rPr>
          <w:rFonts w:ascii="Times New Roman" w:hAnsi="Times New Roman" w:cs="Times New Roman"/>
          <w:sz w:val="24"/>
          <w:szCs w:val="24"/>
        </w:rPr>
        <w:t>444</w:t>
      </w:r>
      <w:r w:rsidR="00E23E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23E8D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E23E8D">
        <w:rPr>
          <w:rFonts w:ascii="Times New Roman" w:hAnsi="Times New Roman" w:cs="Times New Roman"/>
          <w:sz w:val="24"/>
          <w:szCs w:val="24"/>
        </w:rPr>
        <w:t xml:space="preserve"> </w:t>
      </w:r>
      <w:r w:rsidR="00E23E8D" w:rsidRPr="00A86933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E23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8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3E8D">
        <w:rPr>
          <w:rFonts w:ascii="Times New Roman" w:hAnsi="Times New Roman" w:cs="Times New Roman"/>
          <w:sz w:val="24"/>
          <w:szCs w:val="24"/>
        </w:rPr>
        <w:t xml:space="preserve"> 0,444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E8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65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F9E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A8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9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6731D">
        <w:rPr>
          <w:rFonts w:ascii="Times New Roman" w:hAnsi="Times New Roman" w:cs="Times New Roman"/>
          <w:i/>
          <w:iCs/>
          <w:sz w:val="24"/>
          <w:szCs w:val="24"/>
        </w:rPr>
        <w:t xml:space="preserve">quick ratio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9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6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E2588D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0,</w:t>
      </w:r>
      <w:r w:rsidR="00BA7C20">
        <w:rPr>
          <w:rFonts w:ascii="Times New Roman" w:hAnsi="Times New Roman" w:cs="Times New Roman"/>
          <w:sz w:val="24"/>
          <w:szCs w:val="24"/>
        </w:rPr>
        <w:t>444</w:t>
      </w:r>
      <w:r w:rsidR="00E2588D"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588D" w:rsidRPr="00A81D4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E2588D" w:rsidRPr="00A81D47">
        <w:rPr>
          <w:rFonts w:ascii="Times New Roman" w:hAnsi="Times New Roman" w:cs="Times New Roman"/>
          <w:sz w:val="24"/>
          <w:szCs w:val="24"/>
        </w:rPr>
        <w:t>.</w:t>
      </w:r>
    </w:p>
    <w:p w14:paraId="72475048" w14:textId="77777777" w:rsidR="00745D76" w:rsidRDefault="00C94A63" w:rsidP="00745D76">
      <w:pPr>
        <w:spacing w:line="480" w:lineRule="auto"/>
        <w:ind w:firstLine="709"/>
        <w:jc w:val="both"/>
        <w:rPr>
          <w:rStyle w:val="FontStyle43"/>
          <w:i w:val="0"/>
          <w:iCs w:val="0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E0D62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A81D4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α = 0,05. Nilai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t</w:t>
      </w:r>
      <w:r w:rsidR="002E7C2F"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699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2E7C2F">
        <w:rPr>
          <w:rFonts w:ascii="Times New Roman" w:hAnsi="Times New Roman" w:cs="Times New Roman"/>
          <w:sz w:val="24"/>
          <w:szCs w:val="24"/>
        </w:rPr>
        <w:t xml:space="preserve">= </w:t>
      </w:r>
      <w:r w:rsidR="002E7C2F" w:rsidRPr="00A81D47">
        <w:rPr>
          <w:rFonts w:ascii="Times New Roman" w:hAnsi="Times New Roman" w:cs="Times New Roman"/>
          <w:sz w:val="24"/>
          <w:szCs w:val="24"/>
        </w:rPr>
        <w:t xml:space="preserve">n – </w:t>
      </w:r>
      <w:r w:rsidR="002E7C2F">
        <w:rPr>
          <w:rFonts w:ascii="Times New Roman" w:hAnsi="Times New Roman" w:cs="Times New Roman"/>
          <w:sz w:val="24"/>
          <w:szCs w:val="24"/>
        </w:rPr>
        <w:t xml:space="preserve">k = 79 </w:t>
      </w:r>
      <w:r w:rsidR="002E7C2F" w:rsidRPr="00A81D47">
        <w:rPr>
          <w:rFonts w:ascii="Times New Roman" w:hAnsi="Times New Roman" w:cs="Times New Roman"/>
          <w:sz w:val="24"/>
          <w:szCs w:val="24"/>
        </w:rPr>
        <w:t>–</w:t>
      </w:r>
      <w:r w:rsidR="002E7C2F">
        <w:rPr>
          <w:rFonts w:ascii="Times New Roman" w:hAnsi="Times New Roman" w:cs="Times New Roman"/>
          <w:sz w:val="24"/>
          <w:szCs w:val="24"/>
        </w:rPr>
        <w:t xml:space="preserve"> 4 = 75</w:t>
      </w:r>
      <w:r w:rsidR="002E7C2F"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1.665.</w:t>
      </w:r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 w:rsidR="00C73DC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81D47"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97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9D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>
        <w:rPr>
          <w:rFonts w:ascii="Times New Roman" w:hAnsi="Times New Roman" w:cs="Times New Roman"/>
          <w:sz w:val="24"/>
          <w:szCs w:val="24"/>
        </w:rPr>
        <w:t>t</w:t>
      </w:r>
      <w:r w:rsidR="002E7C2F" w:rsidRPr="00D52541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1.665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860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F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r w:rsidR="002E7C2F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 w:rsidR="002E7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090F20">
        <w:rPr>
          <w:rFonts w:ascii="Times New Roman" w:hAnsi="Times New Roman" w:cs="Times New Roman"/>
          <w:color w:val="FF0000"/>
          <w:sz w:val="24"/>
          <w:szCs w:val="24"/>
        </w:rPr>
        <w:t>berpengaruh</w:t>
      </w:r>
      <w:proofErr w:type="spellEnd"/>
      <w:r w:rsidR="002E7C2F" w:rsidRPr="00090F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E7C2F" w:rsidRPr="000D7AA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="002E7C2F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C2F"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="002E7C2F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2E7C2F"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="002E7C2F"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="002E7C2F" w:rsidRPr="00A81D47">
        <w:rPr>
          <w:rStyle w:val="FontStyle43"/>
          <w:sz w:val="24"/>
          <w:szCs w:val="24"/>
        </w:rPr>
        <w:t>financial distress</w:t>
      </w:r>
      <w:r w:rsidR="002E7C2F"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="002E7C2F"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="002E7C2F"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="00AE0456"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 w:rsidR="00AE0456"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E2588D"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332ED361" w14:textId="73F0A719" w:rsidR="00614DFC" w:rsidRDefault="00B274EB" w:rsidP="00745D7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1D47">
        <w:rPr>
          <w:rStyle w:val="FontStyle43"/>
          <w:i w:val="0"/>
          <w:iCs w:val="0"/>
          <w:sz w:val="24"/>
          <w:szCs w:val="24"/>
        </w:rPr>
        <w:lastRenderedPageBreak/>
        <w:t>Selanjutnya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dijelaskan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dengan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menggunakan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hasil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analisis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regresi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linier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sederhana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bagaimana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>
        <w:rPr>
          <w:rStyle w:val="FontStyle43"/>
          <w:sz w:val="24"/>
          <w:szCs w:val="24"/>
        </w:rPr>
        <w:t>debt to equity</w:t>
      </w:r>
      <w:r w:rsidRPr="00A81D47">
        <w:rPr>
          <w:rStyle w:val="FontStyle43"/>
          <w:sz w:val="24"/>
          <w:szCs w:val="24"/>
        </w:rPr>
        <w:t xml:space="preserve"> ratio</w:t>
      </w:r>
      <w:r w:rsidRPr="00A81D47">
        <w:rPr>
          <w:rStyle w:val="FontStyle43"/>
          <w:i w:val="0"/>
          <w:iCs w:val="0"/>
          <w:sz w:val="24"/>
          <w:szCs w:val="24"/>
        </w:rPr>
        <w:t xml:space="preserve"> (</w:t>
      </w:r>
      <w:r>
        <w:rPr>
          <w:rStyle w:val="FontStyle43"/>
          <w:i w:val="0"/>
          <w:iCs w:val="0"/>
          <w:sz w:val="24"/>
          <w:szCs w:val="24"/>
        </w:rPr>
        <w:t>DE</w:t>
      </w:r>
      <w:r w:rsidRPr="00A81D47">
        <w:rPr>
          <w:rStyle w:val="FontStyle43"/>
          <w:i w:val="0"/>
          <w:iCs w:val="0"/>
          <w:sz w:val="24"/>
          <w:szCs w:val="24"/>
        </w:rPr>
        <w:t xml:space="preserve">R) </w:t>
      </w:r>
      <w:proofErr w:type="spellStart"/>
      <w:r>
        <w:rPr>
          <w:rStyle w:val="FontStyle43"/>
          <w:i w:val="0"/>
          <w:iCs w:val="0"/>
          <w:sz w:val="24"/>
          <w:szCs w:val="24"/>
        </w:rPr>
        <w:t>secara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parsial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memberikan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pengaruh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tinggi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atau</w:t>
      </w:r>
      <w:proofErr w:type="spellEnd"/>
      <w:r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FontStyle43"/>
          <w:i w:val="0"/>
          <w:iCs w:val="0"/>
          <w:sz w:val="24"/>
          <w:szCs w:val="24"/>
        </w:rPr>
        <w:t>rendahnya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financial distress</w:t>
      </w:r>
      <w:r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="00E258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EF513E" w14:textId="2815B63A" w:rsidR="007F2332" w:rsidRPr="007B19F5" w:rsidRDefault="007F2332" w:rsidP="00745D7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</w:t>
      </w:r>
      <w:r w:rsidR="00A16E86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C4D9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Debt to Equity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Ratio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8D656A">
        <w:rPr>
          <w:rFonts w:ascii="Times New Roman" w:hAnsi="Times New Roman" w:cs="Times New Roman"/>
          <w:b/>
          <w:bCs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A81D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(Z-</w:t>
      </w:r>
      <w:r w:rsidR="007B19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Score</w:t>
      </w:r>
      <w:r w:rsidR="007B19F5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6"/>
        <w:gridCol w:w="898"/>
        <w:gridCol w:w="1101"/>
        <w:gridCol w:w="1823"/>
        <w:gridCol w:w="1818"/>
        <w:gridCol w:w="972"/>
        <w:gridCol w:w="924"/>
      </w:tblGrid>
      <w:tr w:rsidR="007F2332" w:rsidRPr="00862B68" w14:paraId="26B70A12" w14:textId="77777777" w:rsidTr="00745D76">
        <w:tc>
          <w:tcPr>
            <w:tcW w:w="962" w:type="pct"/>
            <w:vMerge w:val="restart"/>
            <w:tcBorders>
              <w:left w:val="nil"/>
              <w:right w:val="nil"/>
            </w:tcBorders>
            <w:vAlign w:val="center"/>
          </w:tcPr>
          <w:p w14:paraId="770C7E1A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4038" w:type="pct"/>
            <w:gridSpan w:val="6"/>
            <w:tcBorders>
              <w:left w:val="nil"/>
              <w:right w:val="nil"/>
            </w:tcBorders>
          </w:tcPr>
          <w:p w14:paraId="354EAFB2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833521" w:rsidRPr="00862B68" w14:paraId="26D19C13" w14:textId="77777777" w:rsidTr="00745D76">
        <w:tc>
          <w:tcPr>
            <w:tcW w:w="962" w:type="pct"/>
            <w:vMerge/>
            <w:tcBorders>
              <w:left w:val="nil"/>
              <w:right w:val="nil"/>
            </w:tcBorders>
            <w:vAlign w:val="center"/>
          </w:tcPr>
          <w:p w14:paraId="570A162D" w14:textId="77777777" w:rsidR="007F2332" w:rsidRPr="00862B68" w:rsidRDefault="007F2332" w:rsidP="00751352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</w:p>
        </w:tc>
        <w:tc>
          <w:tcPr>
            <w:tcW w:w="481" w:type="pct"/>
            <w:tcBorders>
              <w:left w:val="nil"/>
              <w:right w:val="nil"/>
            </w:tcBorders>
            <w:vAlign w:val="center"/>
          </w:tcPr>
          <w:p w14:paraId="39019AAF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590" w:type="pct"/>
            <w:tcBorders>
              <w:left w:val="nil"/>
              <w:right w:val="nil"/>
            </w:tcBorders>
            <w:vAlign w:val="center"/>
          </w:tcPr>
          <w:p w14:paraId="0D97F95A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 Square</w:t>
            </w:r>
          </w:p>
        </w:tc>
        <w:tc>
          <w:tcPr>
            <w:tcW w:w="977" w:type="pct"/>
            <w:tcBorders>
              <w:left w:val="nil"/>
              <w:right w:val="nil"/>
            </w:tcBorders>
            <w:vAlign w:val="center"/>
          </w:tcPr>
          <w:p w14:paraId="1A45BA01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974" w:type="pct"/>
            <w:tcBorders>
              <w:left w:val="nil"/>
              <w:right w:val="nil"/>
            </w:tcBorders>
            <w:vAlign w:val="center"/>
          </w:tcPr>
          <w:p w14:paraId="7FFD76B3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521" w:type="pct"/>
            <w:tcBorders>
              <w:left w:val="nil"/>
              <w:right w:val="nil"/>
            </w:tcBorders>
            <w:vAlign w:val="center"/>
          </w:tcPr>
          <w:p w14:paraId="39BFB607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</w:t>
            </w:r>
          </w:p>
        </w:tc>
        <w:tc>
          <w:tcPr>
            <w:tcW w:w="494" w:type="pct"/>
            <w:tcBorders>
              <w:left w:val="nil"/>
              <w:right w:val="nil"/>
            </w:tcBorders>
            <w:vAlign w:val="center"/>
          </w:tcPr>
          <w:p w14:paraId="0AB6EDE8" w14:textId="708442C8" w:rsidR="007F2332" w:rsidRPr="00862B68" w:rsidRDefault="003866BE" w:rsidP="0075135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62B68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</w:tr>
      <w:tr w:rsidR="00833521" w:rsidRPr="00862B68" w14:paraId="5A3809E7" w14:textId="77777777" w:rsidTr="00745D76">
        <w:tc>
          <w:tcPr>
            <w:tcW w:w="96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5D409F" w14:textId="501CB55E" w:rsidR="007F2332" w:rsidRPr="00862B68" w:rsidRDefault="00B30BEC" w:rsidP="00751352">
            <w:pPr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i/>
                <w:iCs/>
                <w:lang w:val="en-US"/>
              </w:rPr>
              <w:t>Debt to Equity</w:t>
            </w:r>
            <w:r w:rsidR="007F2332" w:rsidRPr="00862B6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Ratio</w:t>
            </w:r>
            <w:r w:rsidR="00825ABD" w:rsidRPr="00862B68">
              <w:rPr>
                <w:rFonts w:ascii="Times New Roman" w:hAnsi="Times New Roman" w:cs="Times New Roman"/>
                <w:lang w:val="en-US"/>
              </w:rPr>
              <w:t xml:space="preserve"> (DER)</w:t>
            </w:r>
          </w:p>
        </w:tc>
        <w:tc>
          <w:tcPr>
            <w:tcW w:w="48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84E4AF" w14:textId="447A493C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</w:t>
            </w:r>
            <w:r w:rsidR="00CC35CA" w:rsidRPr="00862B68">
              <w:rPr>
                <w:rFonts w:ascii="Times New Roman" w:hAnsi="Times New Roman" w:cs="Times New Roman"/>
                <w:lang w:val="en-US"/>
              </w:rPr>
              <w:t>135</w:t>
            </w:r>
          </w:p>
        </w:tc>
        <w:tc>
          <w:tcPr>
            <w:tcW w:w="59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45EE02" w14:textId="602B1A96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0.</w:t>
            </w:r>
            <w:r w:rsidR="00CC35CA" w:rsidRPr="00862B68">
              <w:rPr>
                <w:rFonts w:ascii="Times New Roman" w:hAnsi="Times New Roman" w:cs="Times New Roman"/>
                <w:lang w:val="en-US"/>
              </w:rPr>
              <w:t>018</w:t>
            </w:r>
          </w:p>
        </w:tc>
        <w:tc>
          <w:tcPr>
            <w:tcW w:w="97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893CD" w14:textId="161A5A61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</w:t>
            </w:r>
            <w:r w:rsidR="00CC35CA" w:rsidRPr="00862B68">
              <w:rPr>
                <w:rFonts w:ascii="Times New Roman" w:hAnsi="Times New Roman" w:cs="Times New Roman"/>
                <w:lang w:val="en-US"/>
              </w:rPr>
              <w:t>463</w:t>
            </w:r>
          </w:p>
        </w:tc>
        <w:tc>
          <w:tcPr>
            <w:tcW w:w="97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DAE77B" w14:textId="46F1054B" w:rsidR="007F2332" w:rsidRPr="00862B68" w:rsidRDefault="00CC35CA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-</w:t>
            </w:r>
            <w:r w:rsidR="007F2332" w:rsidRPr="00862B68">
              <w:rPr>
                <w:rFonts w:ascii="Times New Roman" w:hAnsi="Times New Roman" w:cs="Times New Roman"/>
                <w:lang w:val="en-US"/>
              </w:rPr>
              <w:t>0.</w:t>
            </w:r>
            <w:r w:rsidRPr="00862B68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5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EF2284" w14:textId="60F38B41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62B68">
              <w:rPr>
                <w:rFonts w:ascii="Times New Roman" w:hAnsi="Times New Roman" w:cs="Times New Roman"/>
                <w:lang w:val="en-US"/>
              </w:rPr>
              <w:t>0,2</w:t>
            </w:r>
            <w:r w:rsidR="00472DEB" w:rsidRPr="00862B68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49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0BEAB5" w14:textId="77777777" w:rsidR="007F2332" w:rsidRPr="00862B68" w:rsidRDefault="007F2332" w:rsidP="00751352">
            <w:pPr>
              <w:jc w:val="center"/>
              <w:rPr>
                <w:rFonts w:ascii="Times New Roman" w:hAnsi="Times New Roman" w:cs="Times New Roman"/>
              </w:rPr>
            </w:pPr>
            <w:r w:rsidRPr="00862B68">
              <w:rPr>
                <w:rFonts w:ascii="Times New Roman" w:hAnsi="Times New Roman" w:cs="Times New Roman"/>
              </w:rPr>
              <w:t>0,05</w:t>
            </w:r>
          </w:p>
        </w:tc>
      </w:tr>
      <w:tr w:rsidR="007F2332" w:rsidRPr="00862B68" w14:paraId="757F1013" w14:textId="77777777" w:rsidTr="00745D76">
        <w:tc>
          <w:tcPr>
            <w:tcW w:w="5000" w:type="pct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E0CF57" w14:textId="77777777" w:rsidR="007F2332" w:rsidRPr="00862B68" w:rsidRDefault="007F2332" w:rsidP="00751352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b/>
                <w:bCs/>
                <w:lang w:val="en-US"/>
              </w:rPr>
              <w:t>Signifikan</w:t>
            </w:r>
            <w:proofErr w:type="spellEnd"/>
          </w:p>
        </w:tc>
      </w:tr>
      <w:tr w:rsidR="007F2332" w:rsidRPr="00862B68" w14:paraId="45DC2DC0" w14:textId="77777777" w:rsidTr="00745D76">
        <w:tc>
          <w:tcPr>
            <w:tcW w:w="5000" w:type="pct"/>
            <w:gridSpan w:val="7"/>
            <w:tcBorders>
              <w:left w:val="nil"/>
              <w:right w:val="nil"/>
            </w:tcBorders>
          </w:tcPr>
          <w:p w14:paraId="26989015" w14:textId="6AC8217A" w:rsidR="007F2332" w:rsidRPr="00862B68" w:rsidRDefault="007F2332" w:rsidP="0075135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hitung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304DF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62B68">
              <w:rPr>
                <w:rFonts w:ascii="Times New Roman" w:hAnsi="Times New Roman" w:cs="Times New Roman"/>
                <w:lang w:val="en-US"/>
              </w:rPr>
              <w:t>t</w:t>
            </w:r>
            <w:r w:rsidRPr="00862B68">
              <w:rPr>
                <w:rFonts w:ascii="Times New Roman" w:hAnsi="Times New Roman" w:cs="Times New Roman"/>
                <w:vertAlign w:val="subscript"/>
                <w:lang w:val="en-US"/>
              </w:rPr>
              <w:t>tabel</w:t>
            </w:r>
            <w:proofErr w:type="spellEnd"/>
            <w:r w:rsidRPr="00862B68">
              <w:rPr>
                <w:rFonts w:ascii="Times New Roman" w:hAnsi="Times New Roman" w:cs="Times New Roman"/>
                <w:lang w:val="en-US"/>
              </w:rPr>
              <w:t xml:space="preserve"> = </w:t>
            </w:r>
            <w:r w:rsidR="00D304DF" w:rsidRPr="00862B68">
              <w:rPr>
                <w:rFonts w:ascii="Times New Roman" w:hAnsi="Times New Roman" w:cs="Times New Roman"/>
                <w:lang w:val="en-US"/>
              </w:rPr>
              <w:t>-1</w:t>
            </w:r>
            <w:r w:rsidRPr="00862B68">
              <w:rPr>
                <w:rFonts w:ascii="Times New Roman" w:hAnsi="Times New Roman" w:cs="Times New Roman"/>
                <w:lang w:val="en-US"/>
              </w:rPr>
              <w:t xml:space="preserve">,197 </w:t>
            </w:r>
            <w:r w:rsidR="00D304DF" w:rsidRPr="00862B68">
              <w:rPr>
                <w:rFonts w:ascii="Times New Roman" w:hAnsi="Times New Roman" w:cs="Times New Roman"/>
                <w:lang w:val="en-US"/>
              </w:rPr>
              <w:t>&lt;</w:t>
            </w:r>
            <w:r w:rsidR="00811E53" w:rsidRPr="00862B68">
              <w:rPr>
                <w:rFonts w:ascii="Times New Roman" w:hAnsi="Times New Roman" w:cs="Times New Roman"/>
                <w:lang w:val="en-US"/>
              </w:rPr>
              <w:t xml:space="preserve"> 1,665</w:t>
            </w:r>
          </w:p>
        </w:tc>
      </w:tr>
    </w:tbl>
    <w:p w14:paraId="0C17E66B" w14:textId="25CB6924" w:rsidR="007F2332" w:rsidRDefault="006F7A20" w:rsidP="00745D7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41082118" w14:textId="4FC8ED5D" w:rsidR="00D249D6" w:rsidRPr="00A81D47" w:rsidRDefault="00D249D6" w:rsidP="00745D7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538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9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5386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0953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5386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095386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09538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095386"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18B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3472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CC35CA">
        <w:rPr>
          <w:rFonts w:ascii="Times New Roman" w:hAnsi="Times New Roman" w:cs="Times New Roman"/>
          <w:sz w:val="24"/>
          <w:szCs w:val="24"/>
          <w:lang w:val="en-US"/>
        </w:rPr>
        <w:t>135</w:t>
      </w:r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35CA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A81D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>tidak</w:t>
      </w:r>
      <w:proofErr w:type="spellEnd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>signifikan</w:t>
      </w:r>
      <w:proofErr w:type="spellEnd"/>
      <w:r w:rsidRPr="00A81D4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F6062D">
        <w:rPr>
          <w:rFonts w:ascii="Times New Roman" w:hAnsi="Times New Roman" w:cs="Times New Roman"/>
          <w:i/>
          <w:sz w:val="24"/>
          <w:szCs w:val="24"/>
        </w:rPr>
        <w:t xml:space="preserve">debt to </w:t>
      </w:r>
      <w:proofErr w:type="spellStart"/>
      <w:r w:rsidR="00F6062D">
        <w:rPr>
          <w:rFonts w:ascii="Times New Roman" w:hAnsi="Times New Roman" w:cs="Times New Roman"/>
          <w:i/>
          <w:sz w:val="24"/>
          <w:szCs w:val="24"/>
        </w:rPr>
        <w:t>eqity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>.</w:t>
      </w:r>
      <w:r w:rsidR="00472DEB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(R</w:t>
      </w:r>
      <w:r w:rsidRPr="00A81D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0.</w:t>
      </w:r>
      <w:r w:rsidR="00B27192">
        <w:rPr>
          <w:rFonts w:ascii="Times New Roman" w:hAnsi="Times New Roman" w:cs="Times New Roman"/>
          <w:sz w:val="24"/>
          <w:szCs w:val="24"/>
        </w:rPr>
        <w:t>018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C86278">
        <w:rPr>
          <w:rFonts w:ascii="Times New Roman" w:hAnsi="Times New Roman" w:cs="Times New Roman"/>
          <w:i/>
          <w:sz w:val="24"/>
          <w:szCs w:val="24"/>
        </w:rPr>
        <w:t xml:space="preserve">debt to </w:t>
      </w:r>
      <w:proofErr w:type="spellStart"/>
      <w:r w:rsidR="00C86278">
        <w:rPr>
          <w:rFonts w:ascii="Times New Roman" w:hAnsi="Times New Roman" w:cs="Times New Roman"/>
          <w:i/>
          <w:sz w:val="24"/>
          <w:szCs w:val="24"/>
        </w:rPr>
        <w:t>eqity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81D47">
        <w:rPr>
          <w:rFonts w:ascii="Times New Roman" w:hAnsi="Times New Roman" w:cs="Times New Roman"/>
          <w:sz w:val="24"/>
          <w:szCs w:val="24"/>
        </w:rPr>
        <w:t>,</w:t>
      </w:r>
      <w:r w:rsidR="00B27192">
        <w:rPr>
          <w:rFonts w:ascii="Times New Roman" w:hAnsi="Times New Roman" w:cs="Times New Roman"/>
          <w:sz w:val="24"/>
          <w:szCs w:val="24"/>
        </w:rPr>
        <w:t>8</w:t>
      </w:r>
      <w:r w:rsidRPr="00A81D47">
        <w:rPr>
          <w:rFonts w:ascii="Times New Roman" w:hAnsi="Times New Roman" w:cs="Times New Roman"/>
          <w:sz w:val="24"/>
          <w:szCs w:val="24"/>
        </w:rPr>
        <w:t xml:space="preserve">0%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B2719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81D47">
        <w:rPr>
          <w:rFonts w:ascii="Times New Roman" w:hAnsi="Times New Roman" w:cs="Times New Roman"/>
          <w:sz w:val="24"/>
          <w:szCs w:val="24"/>
        </w:rPr>
        <w:t>,</w:t>
      </w:r>
      <w:r w:rsidR="00B27192">
        <w:rPr>
          <w:rFonts w:ascii="Times New Roman" w:hAnsi="Times New Roman" w:cs="Times New Roman"/>
          <w:sz w:val="24"/>
          <w:szCs w:val="24"/>
        </w:rPr>
        <w:t>2</w:t>
      </w:r>
      <w:r w:rsidRPr="00A81D47">
        <w:rPr>
          <w:rFonts w:ascii="Times New Roman" w:hAnsi="Times New Roman" w:cs="Times New Roman"/>
          <w:sz w:val="24"/>
          <w:szCs w:val="24"/>
        </w:rPr>
        <w:t xml:space="preserve">0%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disumbangkan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>.</w:t>
      </w:r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Sig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0,05. Karena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Sig (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>)</w:t>
      </w:r>
      <w:r w:rsidR="0032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4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0,235 </w:t>
      </w:r>
      <w:r w:rsidR="0032743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3274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743F">
        <w:rPr>
          <w:rFonts w:ascii="Times New Roman" w:hAnsi="Times New Roman" w:cs="Times New Roman"/>
          <w:sz w:val="24"/>
          <w:szCs w:val="24"/>
        </w:rPr>
        <w:t xml:space="preserve"> Sig</w:t>
      </w:r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B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0222B7">
        <w:rPr>
          <w:rFonts w:ascii="Times New Roman" w:hAnsi="Times New Roman" w:cs="Times New Roman"/>
          <w:sz w:val="24"/>
          <w:szCs w:val="24"/>
        </w:rPr>
        <w:t xml:space="preserve"> </w:t>
      </w:r>
      <w:r w:rsidR="000222B7" w:rsidRPr="00F6523E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0222B7">
        <w:rPr>
          <w:rFonts w:ascii="Times New Roman" w:hAnsi="Times New Roman" w:cs="Times New Roman"/>
          <w:sz w:val="24"/>
          <w:szCs w:val="24"/>
        </w:rPr>
        <w:t>.</w:t>
      </w:r>
    </w:p>
    <w:p w14:paraId="76F64585" w14:textId="2F1B44C4" w:rsidR="004D72BE" w:rsidRDefault="004D72BE" w:rsidP="000E7311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IV.6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249D6" w:rsidRPr="00A81D47">
        <w:rPr>
          <w:rFonts w:ascii="Times New Roman" w:hAnsi="Times New Roman" w:cs="Times New Roman"/>
          <w:sz w:val="24"/>
          <w:szCs w:val="24"/>
        </w:rPr>
        <w:t>ersamaan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E70F0A" w14:textId="494E483C" w:rsidR="004D72BE" w:rsidRDefault="00D249D6" w:rsidP="000E731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1D47">
        <w:rPr>
          <w:rFonts w:ascii="Times New Roman" w:hAnsi="Times New Roman" w:cs="Times New Roman"/>
          <w:sz w:val="24"/>
          <w:szCs w:val="24"/>
        </w:rPr>
        <w:t>Y</w:t>
      </w:r>
      <w:r w:rsidR="006A5282">
        <w:rPr>
          <w:rFonts w:ascii="Times New Roman" w:hAnsi="Times New Roman" w:cs="Times New Roman"/>
          <w:sz w:val="24"/>
          <w:szCs w:val="24"/>
        </w:rPr>
        <w:t xml:space="preserve"> </w:t>
      </w:r>
      <w:r w:rsidR="006A5282" w:rsidRPr="00A81D47">
        <w:rPr>
          <w:rFonts w:ascii="Times New Roman" w:hAnsi="Times New Roman" w:cs="Times New Roman"/>
          <w:sz w:val="24"/>
          <w:szCs w:val="24"/>
        </w:rPr>
        <w:t>=</w:t>
      </w:r>
      <w:r w:rsidR="006A5282">
        <w:rPr>
          <w:rFonts w:ascii="Times New Roman" w:hAnsi="Times New Roman" w:cs="Times New Roman"/>
          <w:sz w:val="24"/>
          <w:szCs w:val="24"/>
        </w:rPr>
        <w:t xml:space="preserve"> a + b</w:t>
      </w:r>
      <w:r w:rsidR="00664DC0">
        <w:rPr>
          <w:rFonts w:ascii="Times New Roman" w:hAnsi="Times New Roman" w:cs="Times New Roman"/>
          <w:sz w:val="24"/>
          <w:szCs w:val="24"/>
        </w:rPr>
        <w:t>X</w:t>
      </w:r>
      <w:r w:rsidR="00664DC0" w:rsidRPr="00664DC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81D47">
        <w:rPr>
          <w:rFonts w:ascii="Times New Roman" w:hAnsi="Times New Roman" w:cs="Times New Roman"/>
          <w:sz w:val="24"/>
          <w:szCs w:val="24"/>
        </w:rPr>
        <w:t xml:space="preserve"> =</w:t>
      </w:r>
      <w:r w:rsidR="00555648">
        <w:rPr>
          <w:rFonts w:ascii="Times New Roman" w:hAnsi="Times New Roman" w:cs="Times New Roman"/>
          <w:sz w:val="24"/>
          <w:szCs w:val="24"/>
        </w:rPr>
        <w:t xml:space="preserve"> 0,463 </w:t>
      </w:r>
      <w:r w:rsidR="00555648" w:rsidRPr="00A81D47">
        <w:rPr>
          <w:rFonts w:ascii="Times New Roman" w:hAnsi="Times New Roman" w:cs="Times New Roman"/>
          <w:sz w:val="24"/>
          <w:szCs w:val="24"/>
        </w:rPr>
        <w:t>–</w:t>
      </w:r>
      <w:r w:rsidR="00555648">
        <w:rPr>
          <w:rFonts w:ascii="Times New Roman" w:hAnsi="Times New Roman" w:cs="Times New Roman"/>
          <w:sz w:val="24"/>
          <w:szCs w:val="24"/>
        </w:rPr>
        <w:t xml:space="preserve"> 0,001</w:t>
      </w:r>
      <w:r w:rsidRPr="00A81D47">
        <w:rPr>
          <w:rFonts w:ascii="Times New Roman" w:hAnsi="Times New Roman" w:cs="Times New Roman"/>
          <w:sz w:val="24"/>
          <w:szCs w:val="24"/>
        </w:rPr>
        <w:t>X</w:t>
      </w:r>
      <w:r w:rsidR="006B1203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4B8D89A5" w14:textId="77777777" w:rsidR="00540090" w:rsidRDefault="004D72BE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6B1203" w:rsidRPr="00A81D47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696">
        <w:rPr>
          <w:rFonts w:ascii="Times New Roman" w:hAnsi="Times New Roman" w:cs="Times New Roman"/>
          <w:sz w:val="24"/>
          <w:szCs w:val="24"/>
        </w:rPr>
        <w:t>nega</w:t>
      </w:r>
      <w:r w:rsidR="00D249D6" w:rsidRPr="00A81D47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D249D6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CA1A8C">
        <w:rPr>
          <w:rFonts w:ascii="Times New Roman" w:hAnsi="Times New Roman" w:cs="Times New Roman"/>
          <w:sz w:val="24"/>
          <w:szCs w:val="24"/>
        </w:rPr>
        <w:t>0,463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69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B666B">
        <w:rPr>
          <w:rFonts w:ascii="Times New Roman" w:hAnsi="Times New Roman" w:cs="Times New Roman"/>
          <w:sz w:val="24"/>
          <w:szCs w:val="24"/>
        </w:rPr>
        <w:t xml:space="preserve"> </w:t>
      </w:r>
      <w:r w:rsidR="006B1203" w:rsidRPr="00A81D47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A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CD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D249D6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3D07C3">
        <w:rPr>
          <w:rFonts w:ascii="Times New Roman" w:hAnsi="Times New Roman" w:cs="Times New Roman"/>
          <w:sz w:val="24"/>
          <w:szCs w:val="24"/>
        </w:rPr>
        <w:t>0.</w:t>
      </w:r>
      <w:r w:rsidR="001D7A3B">
        <w:rPr>
          <w:rFonts w:ascii="Times New Roman" w:hAnsi="Times New Roman" w:cs="Times New Roman"/>
          <w:sz w:val="24"/>
          <w:szCs w:val="24"/>
        </w:rPr>
        <w:t xml:space="preserve">463. </w:t>
      </w:r>
      <w:proofErr w:type="spellStart"/>
      <w:r w:rsidR="001D7A3B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1D7A3B">
        <w:rPr>
          <w:rFonts w:ascii="Times New Roman" w:hAnsi="Times New Roman" w:cs="Times New Roman"/>
          <w:sz w:val="24"/>
          <w:szCs w:val="24"/>
        </w:rPr>
        <w:t xml:space="preserve"> </w:t>
      </w:r>
      <w:r w:rsidR="001D7A3B" w:rsidRPr="001D7A3B">
        <w:rPr>
          <w:rFonts w:ascii="Times New Roman" w:hAnsi="Times New Roman" w:cs="Times New Roman"/>
          <w:i/>
          <w:iCs/>
          <w:sz w:val="24"/>
          <w:szCs w:val="24"/>
        </w:rPr>
        <w:t xml:space="preserve">debt to </w:t>
      </w:r>
      <w:r w:rsidR="001D7A3B" w:rsidRPr="001D7A3B">
        <w:rPr>
          <w:rFonts w:ascii="Times New Roman" w:hAnsi="Times New Roman" w:cs="Times New Roman"/>
          <w:i/>
          <w:iCs/>
          <w:sz w:val="24"/>
          <w:szCs w:val="24"/>
        </w:rPr>
        <w:lastRenderedPageBreak/>
        <w:t>equity ratio</w:t>
      </w:r>
      <w:r w:rsidR="001D7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A3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D7A3B">
        <w:rPr>
          <w:rFonts w:ascii="Times New Roman" w:hAnsi="Times New Roman" w:cs="Times New Roman"/>
          <w:sz w:val="24"/>
          <w:szCs w:val="24"/>
        </w:rPr>
        <w:t xml:space="preserve"> -0,001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6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D6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C43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43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95069D" w:rsidRPr="00A81D47">
        <w:rPr>
          <w:rFonts w:ascii="Times New Roman" w:hAnsi="Times New Roman" w:cs="Times New Roman"/>
          <w:i/>
          <w:sz w:val="24"/>
          <w:szCs w:val="24"/>
        </w:rPr>
        <w:t>debt to equity ratio</w:t>
      </w:r>
      <w:r w:rsidR="00D249D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3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D249D6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7C3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072D6C">
        <w:rPr>
          <w:rFonts w:ascii="Times New Roman" w:hAnsi="Times New Roman" w:cs="Times New Roman"/>
          <w:sz w:val="24"/>
          <w:szCs w:val="24"/>
        </w:rPr>
        <w:t>0,001</w:t>
      </w:r>
      <w:r w:rsidR="00D249D6" w:rsidRPr="00A81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9D6" w:rsidRPr="00A81D47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D249D6" w:rsidRPr="00A81D47">
        <w:rPr>
          <w:rFonts w:ascii="Times New Roman" w:hAnsi="Times New Roman" w:cs="Times New Roman"/>
          <w:sz w:val="24"/>
          <w:szCs w:val="24"/>
        </w:rPr>
        <w:t>.</w:t>
      </w:r>
    </w:p>
    <w:p w14:paraId="6696C4C8" w14:textId="1F8850B9" w:rsidR="00D249D6" w:rsidRPr="00A81D47" w:rsidRDefault="00C73DC9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DB4DC4">
        <w:rPr>
          <w:rFonts w:ascii="Times New Roman" w:hAnsi="Times New Roman" w:cs="Times New Roman"/>
          <w:i/>
          <w:iCs/>
          <w:sz w:val="24"/>
          <w:szCs w:val="24"/>
        </w:rPr>
        <w:t xml:space="preserve">debt to equity </w:t>
      </w:r>
      <w:r>
        <w:rPr>
          <w:rFonts w:ascii="Times New Roman" w:hAnsi="Times New Roman" w:cs="Times New Roman"/>
          <w:i/>
          <w:iCs/>
          <w:sz w:val="24"/>
          <w:szCs w:val="24"/>
        </w:rPr>
        <w:t>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4E0D62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A81D4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α = 0,05. Nilai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81D47">
        <w:rPr>
          <w:rFonts w:ascii="Times New Roman" w:hAnsi="Times New Roman" w:cs="Times New Roman"/>
          <w:sz w:val="24"/>
          <w:szCs w:val="24"/>
        </w:rPr>
        <w:t xml:space="preserve">n – </w:t>
      </w:r>
      <w:r>
        <w:rPr>
          <w:rFonts w:ascii="Times New Roman" w:hAnsi="Times New Roman" w:cs="Times New Roman"/>
          <w:sz w:val="24"/>
          <w:szCs w:val="24"/>
        </w:rPr>
        <w:t xml:space="preserve">k = 79 </w:t>
      </w:r>
      <w:r w:rsidRPr="00A81D4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4 = 75</w:t>
      </w:r>
      <w:r w:rsidRPr="00A81D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1.665.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 w:rsidR="00DB4DC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99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5399B">
        <w:rPr>
          <w:rFonts w:ascii="Times New Roman" w:hAnsi="Times New Roman" w:cs="Times New Roman"/>
          <w:sz w:val="24"/>
          <w:szCs w:val="24"/>
        </w:rPr>
        <w:t xml:space="preserve"> </w:t>
      </w:r>
      <w:r w:rsidR="00DB4DC4" w:rsidRPr="00F5399B">
        <w:rPr>
          <w:rFonts w:ascii="Times New Roman" w:hAnsi="Times New Roman" w:cs="Times New Roman"/>
          <w:sz w:val="24"/>
          <w:szCs w:val="24"/>
          <w:lang w:val="en-US"/>
        </w:rPr>
        <w:t>-1,197</w:t>
      </w:r>
      <w:r w:rsidRPr="00F539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399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DC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52541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1.665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7C5">
        <w:rPr>
          <w:rFonts w:ascii="Times New Roman" w:hAnsi="Times New Roman" w:cs="Times New Roman"/>
          <w:i/>
          <w:iCs/>
          <w:sz w:val="24"/>
          <w:szCs w:val="24"/>
        </w:rPr>
        <w:t>debt to equity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24F">
        <w:rPr>
          <w:rFonts w:ascii="Times New Roman" w:hAnsi="Times New Roman" w:cs="Times New Roman"/>
          <w:color w:val="FF0000"/>
          <w:sz w:val="24"/>
          <w:szCs w:val="24"/>
        </w:rPr>
        <w:t>berpengaruh</w:t>
      </w:r>
      <w:proofErr w:type="spellEnd"/>
      <w:r w:rsidRPr="009D42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B4DC4" w:rsidRPr="00DB4DC4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="00DB4DC4" w:rsidRPr="00DB4D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7AA7">
        <w:rPr>
          <w:rFonts w:ascii="Times New Roman" w:hAnsi="Times New Roman" w:cs="Times New Roman"/>
          <w:color w:val="FF0000"/>
          <w:sz w:val="24"/>
          <w:szCs w:val="24"/>
        </w:rPr>
        <w:t>signifikan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terhadap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indeks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r w:rsidRPr="00A81D47">
        <w:rPr>
          <w:rStyle w:val="FontStyle43"/>
          <w:sz w:val="24"/>
          <w:szCs w:val="24"/>
        </w:rPr>
        <w:t>financial distress</w:t>
      </w:r>
      <w:r w:rsidRPr="00A81D47">
        <w:rPr>
          <w:rStyle w:val="FontStyle43"/>
          <w:i w:val="0"/>
          <w:iCs w:val="0"/>
          <w:sz w:val="24"/>
          <w:szCs w:val="24"/>
        </w:rPr>
        <w:t xml:space="preserve"> pada </w:t>
      </w:r>
      <w:proofErr w:type="spellStart"/>
      <w:r w:rsidRPr="00A81D47">
        <w:rPr>
          <w:rStyle w:val="FontStyle43"/>
          <w:i w:val="0"/>
          <w:iCs w:val="0"/>
          <w:sz w:val="24"/>
          <w:szCs w:val="24"/>
        </w:rPr>
        <w:t>perusahaan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sektor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industri</w:t>
      </w:r>
      <w:proofErr w:type="spellEnd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</w:t>
      </w:r>
      <w:proofErr w:type="spellStart"/>
      <w:r w:rsidRPr="00216328">
        <w:rPr>
          <w:rFonts w:ascii="Times New Roman" w:hAnsi="Times New Roman" w:cs="Times New Roman"/>
          <w:color w:val="010205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color w:val="010205"/>
          <w:sz w:val="24"/>
          <w:szCs w:val="24"/>
          <w:lang w:val="en-US"/>
        </w:rPr>
        <w:t>kimia</w:t>
      </w:r>
      <w:proofErr w:type="spellEnd"/>
      <w:r w:rsidRPr="00A81D47">
        <w:rPr>
          <w:rStyle w:val="FontStyle43"/>
          <w:i w:val="0"/>
          <w:iCs w:val="0"/>
          <w:sz w:val="24"/>
          <w:szCs w:val="24"/>
        </w:rPr>
        <w:t>.</w:t>
      </w:r>
    </w:p>
    <w:p w14:paraId="5DB80FAD" w14:textId="5B82CF0A" w:rsidR="00466531" w:rsidRPr="00BF10F4" w:rsidRDefault="00D30878" w:rsidP="00540090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lang w:val="en-US"/>
        </w:rPr>
        <w:t>Analisis</w:t>
      </w:r>
      <w:proofErr w:type="spellEnd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Regresi</w:t>
      </w:r>
      <w:proofErr w:type="spellEnd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Linier </w:t>
      </w:r>
      <w:proofErr w:type="spellStart"/>
      <w:r w:rsidR="00466531" w:rsidRPr="00BF10F4">
        <w:rPr>
          <w:rFonts w:ascii="Times New Roman" w:hAnsi="Times New Roman" w:cs="Times New Roman"/>
          <w:b/>
          <w:bCs/>
          <w:color w:val="auto"/>
          <w:lang w:val="en-US"/>
        </w:rPr>
        <w:t>Berganda</w:t>
      </w:r>
      <w:proofErr w:type="spellEnd"/>
    </w:p>
    <w:p w14:paraId="5094010D" w14:textId="5821C892" w:rsidR="00C81A08" w:rsidRDefault="004860AF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37D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81A08">
        <w:rPr>
          <w:rFonts w:ascii="Times New Roman" w:hAnsi="Times New Roman" w:cs="Times New Roman"/>
          <w:sz w:val="24"/>
          <w:szCs w:val="24"/>
          <w:lang w:val="en-US"/>
        </w:rPr>
        <w:t>egresi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linier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855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="00DF5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5855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DF5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3B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C81A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2A74" w:rsidRPr="00C92A74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(ROE), </w:t>
      </w:r>
      <w:r w:rsidR="00C92A74" w:rsidRPr="00C92A74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(QR), dan </w:t>
      </w:r>
      <w:r w:rsidR="00C92A74" w:rsidRPr="00C92A74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(DER) </w:t>
      </w:r>
      <w:proofErr w:type="spellStart"/>
      <w:r w:rsidR="00C81A0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92A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2A74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771F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71F" w:rsidRPr="00DF771F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DF771F">
        <w:rPr>
          <w:rFonts w:ascii="Times New Roman" w:hAnsi="Times New Roman" w:cs="Times New Roman"/>
          <w:sz w:val="24"/>
          <w:szCs w:val="24"/>
          <w:lang w:val="en-US"/>
        </w:rPr>
        <w:t xml:space="preserve"> (Z-Score)</w:t>
      </w:r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7F4C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00990" w14:textId="45CA3B1B" w:rsidR="007F4C72" w:rsidRPr="00010226" w:rsidRDefault="007F4C72" w:rsidP="005400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IV.9 </w:t>
      </w: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Pengaruh</w:t>
      </w:r>
      <w:proofErr w:type="spellEnd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return on equity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(ROE),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quick ratio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(QR), dan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debt to equity ratio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(DER) </w:t>
      </w:r>
      <w:proofErr w:type="spellStart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simultan</w:t>
      </w:r>
      <w:proofErr w:type="spellEnd"/>
      <w:r w:rsidR="00F611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Pr="00010226">
        <w:rPr>
          <w:b/>
          <w:bCs/>
        </w:rPr>
        <w:t xml:space="preserve"> </w:t>
      </w:r>
      <w:proofErr w:type="spellStart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indeks</w:t>
      </w:r>
      <w:proofErr w:type="spellEnd"/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1022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financial distress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(Z-</w:t>
      </w:r>
      <w:r w:rsidRPr="00AB6E6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Score</w:t>
      </w:r>
      <w:r w:rsidRPr="0001022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3"/>
        <w:gridCol w:w="823"/>
        <w:gridCol w:w="1150"/>
        <w:gridCol w:w="1532"/>
        <w:gridCol w:w="1530"/>
        <w:gridCol w:w="849"/>
        <w:gridCol w:w="795"/>
      </w:tblGrid>
      <w:tr w:rsidR="00DE3381" w:rsidRPr="00DE3381" w14:paraId="454CD14F" w14:textId="77777777" w:rsidTr="00540090">
        <w:tc>
          <w:tcPr>
            <w:tcW w:w="1421" w:type="pct"/>
            <w:vMerge w:val="restart"/>
            <w:tcBorders>
              <w:left w:val="nil"/>
              <w:right w:val="nil"/>
            </w:tcBorders>
            <w:vAlign w:val="center"/>
          </w:tcPr>
          <w:p w14:paraId="0A2502BB" w14:textId="159CEE16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Variabel</w:t>
            </w:r>
            <w:proofErr w:type="spellEnd"/>
          </w:p>
        </w:tc>
        <w:tc>
          <w:tcPr>
            <w:tcW w:w="3579" w:type="pct"/>
            <w:gridSpan w:val="6"/>
            <w:tcBorders>
              <w:left w:val="nil"/>
              <w:right w:val="nil"/>
            </w:tcBorders>
            <w:vAlign w:val="center"/>
          </w:tcPr>
          <w:p w14:paraId="34D75E63" w14:textId="52CDFE08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Parameter</w:t>
            </w:r>
          </w:p>
        </w:tc>
      </w:tr>
      <w:tr w:rsidR="00DE3381" w:rsidRPr="00DE3381" w14:paraId="57329E21" w14:textId="77777777" w:rsidTr="00540090">
        <w:tc>
          <w:tcPr>
            <w:tcW w:w="1421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05BDFC" w14:textId="77777777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41" w:type="pct"/>
            <w:tcBorders>
              <w:left w:val="nil"/>
              <w:right w:val="nil"/>
            </w:tcBorders>
            <w:vAlign w:val="center"/>
          </w:tcPr>
          <w:p w14:paraId="0E0895CA" w14:textId="2D41F222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</w:t>
            </w:r>
          </w:p>
        </w:tc>
        <w:tc>
          <w:tcPr>
            <w:tcW w:w="616" w:type="pct"/>
            <w:tcBorders>
              <w:left w:val="nil"/>
              <w:right w:val="nil"/>
            </w:tcBorders>
            <w:vAlign w:val="center"/>
          </w:tcPr>
          <w:p w14:paraId="41344019" w14:textId="2D3B498D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R </w:t>
            </w:r>
            <w:r w:rsidRPr="00FB0CA9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Square</w:t>
            </w:r>
          </w:p>
        </w:tc>
        <w:tc>
          <w:tcPr>
            <w:tcW w:w="821" w:type="pct"/>
            <w:tcBorders>
              <w:left w:val="nil"/>
              <w:right w:val="nil"/>
            </w:tcBorders>
            <w:vAlign w:val="center"/>
          </w:tcPr>
          <w:p w14:paraId="6A546B38" w14:textId="2043B270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Konstanta</w:t>
            </w:r>
            <w:proofErr w:type="spellEnd"/>
          </w:p>
        </w:tc>
        <w:tc>
          <w:tcPr>
            <w:tcW w:w="82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7F8C24" w14:textId="063E7975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Koefisien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Regresi</w:t>
            </w:r>
            <w:proofErr w:type="spellEnd"/>
          </w:p>
        </w:tc>
        <w:tc>
          <w:tcPr>
            <w:tcW w:w="455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301021" w14:textId="0F40458B" w:rsidR="00DE3381" w:rsidRPr="00DE3381" w:rsidRDefault="00DE338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3381">
              <w:rPr>
                <w:rFonts w:ascii="Times New Roman" w:hAnsi="Times New Roman" w:cs="Times New Roman"/>
                <w:b/>
                <w:bCs/>
                <w:lang w:val="en-US"/>
              </w:rPr>
              <w:t>Sig.</w:t>
            </w:r>
          </w:p>
        </w:tc>
        <w:tc>
          <w:tcPr>
            <w:tcW w:w="425" w:type="pct"/>
            <w:tcBorders>
              <w:left w:val="nil"/>
              <w:right w:val="nil"/>
            </w:tcBorders>
            <w:vAlign w:val="center"/>
          </w:tcPr>
          <w:p w14:paraId="1DE78DAB" w14:textId="35A2F9B9" w:rsidR="00DE3381" w:rsidRPr="00DE3381" w:rsidRDefault="00F01991" w:rsidP="00DE33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E3381">
              <w:rPr>
                <w:rFonts w:ascii="Times New Roman" w:hAnsi="Times New Roman" w:cs="Times New Roman"/>
                <w:b/>
                <w:bCs/>
              </w:rPr>
              <w:t>Α</w:t>
            </w:r>
          </w:p>
        </w:tc>
      </w:tr>
      <w:tr w:rsidR="00DE3381" w:rsidRPr="00DE3381" w14:paraId="3E71B8B7" w14:textId="77777777" w:rsidTr="00540090">
        <w:tc>
          <w:tcPr>
            <w:tcW w:w="1421" w:type="pct"/>
            <w:tcBorders>
              <w:left w:val="nil"/>
              <w:bottom w:val="nil"/>
              <w:right w:val="nil"/>
            </w:tcBorders>
          </w:tcPr>
          <w:p w14:paraId="683E9413" w14:textId="7804621A" w:rsidR="00DE3381" w:rsidRPr="00DE3381" w:rsidRDefault="00DE3381" w:rsidP="00DE3381">
            <w:pPr>
              <w:rPr>
                <w:rFonts w:ascii="Times New Roman" w:hAnsi="Times New Roman" w:cs="Times New Roman"/>
                <w:lang w:val="en-US"/>
              </w:rPr>
            </w:pPr>
            <w:r w:rsidRPr="00DE3381">
              <w:rPr>
                <w:rFonts w:ascii="Times New Roman" w:hAnsi="Times New Roman" w:cs="Times New Roman"/>
                <w:i/>
                <w:iCs/>
                <w:lang w:val="en-US"/>
              </w:rPr>
              <w:t>Return on equity</w:t>
            </w:r>
            <w:r>
              <w:rPr>
                <w:rFonts w:ascii="Times New Roman" w:hAnsi="Times New Roman" w:cs="Times New Roman"/>
                <w:lang w:val="en-US"/>
              </w:rPr>
              <w:t xml:space="preserve"> (ROE)</w:t>
            </w:r>
          </w:p>
        </w:tc>
        <w:tc>
          <w:tcPr>
            <w:tcW w:w="441" w:type="pct"/>
            <w:vMerge w:val="restart"/>
            <w:tcBorders>
              <w:left w:val="nil"/>
              <w:right w:val="nil"/>
            </w:tcBorders>
            <w:vAlign w:val="center"/>
          </w:tcPr>
          <w:p w14:paraId="43C391DE" w14:textId="66985A49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C0332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355</w:t>
            </w:r>
          </w:p>
        </w:tc>
        <w:tc>
          <w:tcPr>
            <w:tcW w:w="616" w:type="pct"/>
            <w:vMerge w:val="restart"/>
            <w:tcBorders>
              <w:left w:val="nil"/>
              <w:right w:val="nil"/>
            </w:tcBorders>
            <w:vAlign w:val="center"/>
          </w:tcPr>
          <w:p w14:paraId="40BFB9E1" w14:textId="6FBC7ECF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C0332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126</w:t>
            </w:r>
          </w:p>
        </w:tc>
        <w:tc>
          <w:tcPr>
            <w:tcW w:w="821" w:type="pct"/>
            <w:vMerge w:val="restart"/>
            <w:tcBorders>
              <w:left w:val="nil"/>
              <w:right w:val="nil"/>
            </w:tcBorders>
            <w:vAlign w:val="center"/>
          </w:tcPr>
          <w:p w14:paraId="164ACA7A" w14:textId="2DCACD8C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C0332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052</w:t>
            </w:r>
          </w:p>
        </w:tc>
        <w:tc>
          <w:tcPr>
            <w:tcW w:w="820" w:type="pct"/>
            <w:tcBorders>
              <w:left w:val="nil"/>
              <w:bottom w:val="nil"/>
              <w:right w:val="nil"/>
            </w:tcBorders>
            <w:vAlign w:val="center"/>
          </w:tcPr>
          <w:p w14:paraId="4E4666B6" w14:textId="2BD40C4D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0,002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  <w:vAlign w:val="center"/>
          </w:tcPr>
          <w:p w14:paraId="7DDF3D63" w14:textId="65F798D8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0,994</w:t>
            </w:r>
          </w:p>
        </w:tc>
        <w:tc>
          <w:tcPr>
            <w:tcW w:w="425" w:type="pct"/>
            <w:vMerge w:val="restart"/>
            <w:tcBorders>
              <w:left w:val="nil"/>
              <w:right w:val="nil"/>
            </w:tcBorders>
            <w:vAlign w:val="center"/>
          </w:tcPr>
          <w:p w14:paraId="78430708" w14:textId="1704FA01" w:rsidR="00DE3381" w:rsidRPr="00DE3381" w:rsidRDefault="00433675" w:rsidP="00DE33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</w:t>
            </w:r>
          </w:p>
        </w:tc>
      </w:tr>
      <w:tr w:rsidR="00DE3381" w:rsidRPr="00DE3381" w14:paraId="6F84FA62" w14:textId="77777777" w:rsidTr="00540090">
        <w:tc>
          <w:tcPr>
            <w:tcW w:w="1421" w:type="pct"/>
            <w:tcBorders>
              <w:top w:val="nil"/>
              <w:left w:val="nil"/>
              <w:bottom w:val="nil"/>
              <w:right w:val="nil"/>
            </w:tcBorders>
          </w:tcPr>
          <w:p w14:paraId="466E983A" w14:textId="0910996E" w:rsidR="00DE3381" w:rsidRPr="00DE3381" w:rsidRDefault="00DE3381" w:rsidP="00DE3381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E3381">
              <w:rPr>
                <w:rFonts w:ascii="Times New Roman" w:hAnsi="Times New Roman" w:cs="Times New Roman"/>
                <w:i/>
                <w:iCs/>
                <w:lang w:val="en-US"/>
              </w:rPr>
              <w:t>Quick ratio</w:t>
            </w:r>
            <w:r w:rsidRPr="00DE3381">
              <w:rPr>
                <w:rFonts w:ascii="Times New Roman" w:hAnsi="Times New Roman" w:cs="Times New Roman"/>
                <w:lang w:val="en-US"/>
              </w:rPr>
              <w:t xml:space="preserve"> (QR)</w:t>
            </w:r>
          </w:p>
        </w:tc>
        <w:tc>
          <w:tcPr>
            <w:tcW w:w="441" w:type="pct"/>
            <w:vMerge/>
            <w:tcBorders>
              <w:left w:val="nil"/>
              <w:right w:val="nil"/>
            </w:tcBorders>
          </w:tcPr>
          <w:p w14:paraId="1BD2CADB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vMerge/>
            <w:tcBorders>
              <w:left w:val="nil"/>
              <w:right w:val="nil"/>
            </w:tcBorders>
          </w:tcPr>
          <w:p w14:paraId="00BCE89D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pct"/>
            <w:vMerge/>
            <w:tcBorders>
              <w:left w:val="nil"/>
              <w:right w:val="nil"/>
            </w:tcBorders>
          </w:tcPr>
          <w:p w14:paraId="6A347339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547A4" w14:textId="16B09F59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0,429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A6680" w14:textId="39E4B481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0,005</w:t>
            </w:r>
          </w:p>
        </w:tc>
        <w:tc>
          <w:tcPr>
            <w:tcW w:w="425" w:type="pct"/>
            <w:vMerge/>
            <w:tcBorders>
              <w:left w:val="nil"/>
              <w:right w:val="nil"/>
            </w:tcBorders>
          </w:tcPr>
          <w:p w14:paraId="060B0329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81" w:rsidRPr="00DE3381" w14:paraId="1B96E076" w14:textId="77777777" w:rsidTr="00540090"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2280A" w14:textId="0138B7E2" w:rsidR="00DE3381" w:rsidRPr="00DE3381" w:rsidRDefault="00DE3381" w:rsidP="00DE3381">
            <w:pPr>
              <w:rPr>
                <w:rFonts w:ascii="Times New Roman" w:hAnsi="Times New Roman" w:cs="Times New Roman"/>
                <w:lang w:val="en-US"/>
              </w:rPr>
            </w:pPr>
            <w:r w:rsidRPr="00DE3381">
              <w:rPr>
                <w:rFonts w:ascii="Times New Roman" w:hAnsi="Times New Roman" w:cs="Times New Roman"/>
                <w:i/>
                <w:iCs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lang w:val="en-US"/>
              </w:rPr>
              <w:t xml:space="preserve"> (DER)</w:t>
            </w:r>
          </w:p>
        </w:tc>
        <w:tc>
          <w:tcPr>
            <w:tcW w:w="441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5E46E31E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6083EDC8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1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40460379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000F6C" w14:textId="7A737D9F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-0,001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C9399" w14:textId="32AD296A" w:rsidR="00DE3381" w:rsidRPr="00DE3381" w:rsidRDefault="00433675" w:rsidP="004336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0,984</w:t>
            </w:r>
          </w:p>
        </w:tc>
        <w:tc>
          <w:tcPr>
            <w:tcW w:w="425" w:type="pct"/>
            <w:vMerge/>
            <w:tcBorders>
              <w:left w:val="nil"/>
              <w:bottom w:val="single" w:sz="4" w:space="0" w:color="auto"/>
              <w:right w:val="nil"/>
            </w:tcBorders>
          </w:tcPr>
          <w:p w14:paraId="64974DF7" w14:textId="77777777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76DB" w:rsidRPr="00DE3381" w14:paraId="3933D642" w14:textId="77777777" w:rsidTr="00540090"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6F0E1" w14:textId="5D189336" w:rsidR="00F076DB" w:rsidRPr="00DE3381" w:rsidRDefault="00F076DB" w:rsidP="00DE33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40D5">
              <w:rPr>
                <w:rFonts w:ascii="Times New Roman" w:hAnsi="Times New Roman" w:cs="Times New Roman"/>
                <w:b/>
                <w:bCs/>
              </w:rPr>
              <w:t>Pengujian</w:t>
            </w:r>
            <w:proofErr w:type="spellEnd"/>
            <w:r w:rsidRPr="00EF40D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F40D5">
              <w:rPr>
                <w:rFonts w:ascii="Times New Roman" w:hAnsi="Times New Roman" w:cs="Times New Roman"/>
                <w:b/>
                <w:bCs/>
              </w:rPr>
              <w:t>Signifikan</w:t>
            </w:r>
            <w:proofErr w:type="spellEnd"/>
          </w:p>
        </w:tc>
      </w:tr>
      <w:tr w:rsidR="00DE3381" w:rsidRPr="00DE3381" w14:paraId="368A6343" w14:textId="77777777" w:rsidTr="00540090">
        <w:tc>
          <w:tcPr>
            <w:tcW w:w="5000" w:type="pct"/>
            <w:gridSpan w:val="7"/>
            <w:tcBorders>
              <w:left w:val="nil"/>
              <w:right w:val="nil"/>
            </w:tcBorders>
          </w:tcPr>
          <w:p w14:paraId="0A6DEF84" w14:textId="1E6E0DF1" w:rsidR="00DE3381" w:rsidRPr="00DE3381" w:rsidRDefault="00DE3381" w:rsidP="00DE33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DE3381">
              <w:rPr>
                <w:rFonts w:ascii="Times New Roman" w:hAnsi="Times New Roman" w:cs="Times New Roman"/>
                <w:vertAlign w:val="subscript"/>
              </w:rPr>
              <w:t>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DE3381">
              <w:rPr>
                <w:rFonts w:ascii="Times New Roman" w:hAnsi="Times New Roman" w:cs="Times New Roman"/>
                <w:vertAlign w:val="subscript"/>
              </w:rPr>
              <w:t>tabel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  <w:r w:rsidR="00723E12">
              <w:rPr>
                <w:rFonts w:ascii="Times New Roman" w:hAnsi="Times New Roman" w:cs="Times New Roman"/>
              </w:rPr>
              <w:t xml:space="preserve"> 3,603 &gt; </w:t>
            </w:r>
            <w:r w:rsidR="001A24A1">
              <w:rPr>
                <w:rFonts w:ascii="Times New Roman" w:hAnsi="Times New Roman" w:cs="Times New Roman"/>
              </w:rPr>
              <w:t>2,</w:t>
            </w:r>
            <w:r w:rsidR="00C342BB">
              <w:rPr>
                <w:rFonts w:ascii="Times New Roman" w:hAnsi="Times New Roman" w:cs="Times New Roman"/>
              </w:rPr>
              <w:t>727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F3FB900" w14:textId="3A9002B9" w:rsidR="007F4C72" w:rsidRPr="008B7FBC" w:rsidRDefault="00DE3381" w:rsidP="0054009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7FBC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8B7FB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B7FB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8B7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7FBC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8B7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FBC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8B7F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675" w:rsidRPr="008B7FBC">
        <w:rPr>
          <w:rFonts w:ascii="Times New Roman" w:hAnsi="Times New Roman" w:cs="Times New Roman"/>
          <w:sz w:val="24"/>
          <w:szCs w:val="24"/>
          <w:lang w:val="en-US"/>
        </w:rPr>
        <w:t>(Z-</w:t>
      </w:r>
      <w:r w:rsidR="00433675" w:rsidRPr="00AB6E69">
        <w:rPr>
          <w:rFonts w:ascii="Times New Roman" w:hAnsi="Times New Roman" w:cs="Times New Roman"/>
          <w:i/>
          <w:iCs/>
          <w:sz w:val="24"/>
          <w:szCs w:val="24"/>
          <w:lang w:val="en-US"/>
        </w:rPr>
        <w:t>Score</w:t>
      </w:r>
      <w:r w:rsidR="00433675" w:rsidRPr="008B7F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7A6AB3" w14:textId="460B0040" w:rsidR="00DE3381" w:rsidRPr="00DE3381" w:rsidRDefault="00DE3381" w:rsidP="00540090">
      <w:pPr>
        <w:spacing w:line="480" w:lineRule="auto"/>
        <w:rPr>
          <w:lang w:val="en-US"/>
        </w:rPr>
      </w:pPr>
      <w:proofErr w:type="spellStart"/>
      <w:r w:rsidRPr="008B7FB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8B7FBC">
        <w:rPr>
          <w:rFonts w:ascii="Times New Roman" w:hAnsi="Times New Roman" w:cs="Times New Roman"/>
          <w:sz w:val="24"/>
          <w:szCs w:val="24"/>
          <w:lang w:val="en-US"/>
        </w:rPr>
        <w:t xml:space="preserve">: Data </w:t>
      </w:r>
      <w:proofErr w:type="spellStart"/>
      <w:r w:rsidRPr="008B7FBC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8B7FBC"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7FB05C24" w14:textId="77777777" w:rsidR="00540090" w:rsidRDefault="000C0332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9265E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IV.9</w:t>
      </w:r>
      <w:r w:rsidR="004860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65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R </w:t>
      </w:r>
      <w:proofErr w:type="spellStart"/>
      <w:r w:rsidRPr="0019265E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,355 </w:t>
      </w:r>
      <w:proofErr w:type="spellStart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F076DB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97086C" w:rsidRPr="0019265E">
        <w:rPr>
          <w:rFonts w:ascii="Times New Roman" w:hAnsi="Times New Roman" w:cs="Times New Roman"/>
          <w:color w:val="FF0000"/>
          <w:sz w:val="24"/>
          <w:szCs w:val="24"/>
          <w:lang w:val="en-US"/>
        </w:rPr>
        <w:t>signifikan</w:t>
      </w:r>
      <w:proofErr w:type="spellEnd"/>
      <w:r w:rsidR="0097086C" w:rsidRPr="0019265E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97086C" w:rsidRPr="0019265E">
        <w:rPr>
          <w:rFonts w:ascii="Times New Roman" w:hAnsi="Times New Roman" w:cs="Times New Roman"/>
          <w:color w:val="FF0000"/>
          <w:sz w:val="24"/>
          <w:szCs w:val="24"/>
          <w:lang w:val="en-US"/>
        </w:rPr>
        <w:t>tidak</w:t>
      </w:r>
      <w:proofErr w:type="spellEnd"/>
      <w:r w:rsidR="0097086C" w:rsidRPr="0019265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97086C" w:rsidRPr="0019265E">
        <w:rPr>
          <w:rFonts w:ascii="Times New Roman" w:hAnsi="Times New Roman" w:cs="Times New Roman"/>
          <w:color w:val="FF0000"/>
          <w:sz w:val="24"/>
          <w:szCs w:val="24"/>
          <w:lang w:val="en-US"/>
        </w:rPr>
        <w:t>signifikan</w:t>
      </w:r>
      <w:proofErr w:type="spellEnd"/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86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(ROE), </w:t>
      </w:r>
      <w:r w:rsidR="0097086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(QR), dan </w:t>
      </w:r>
      <w:r w:rsidR="0097086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debt to equity </w:t>
      </w:r>
      <w:r w:rsidR="0097086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ratio</w:t>
      </w:r>
      <w:r w:rsidR="0097086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(DER)</w:t>
      </w:r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1BA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6712" w:rsidRPr="0019265E">
        <w:rPr>
          <w:rFonts w:ascii="Times New Roman" w:hAnsi="Times New Roman" w:cs="Times New Roman"/>
          <w:sz w:val="24"/>
          <w:szCs w:val="24"/>
          <w:lang w:val="en-US"/>
        </w:rPr>
        <w:t>(Z-</w:t>
      </w:r>
      <w:r w:rsidR="002A6712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Score</w:t>
      </w:r>
      <w:r w:rsidR="002A6712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da</w:t>
      </w:r>
      <w:r w:rsidR="005B3A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B3A7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001BAC" w:rsidRPr="00192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BA9D71" w14:textId="77777777" w:rsidR="00540090" w:rsidRDefault="00FB0CA9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Pr="0019265E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65E">
        <w:rPr>
          <w:rFonts w:ascii="Times New Roman" w:hAnsi="Times New Roman" w:cs="Times New Roman"/>
          <w:sz w:val="24"/>
          <w:szCs w:val="24"/>
          <w:lang w:val="en-US"/>
        </w:rPr>
        <w:t>determinasi</w:t>
      </w:r>
      <w:proofErr w:type="spellEnd"/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(R </w:t>
      </w:r>
      <w:r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Square</w:t>
      </w:r>
      <w:r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5598">
        <w:rPr>
          <w:rFonts w:ascii="Times New Roman" w:hAnsi="Times New Roman" w:cs="Times New Roman"/>
          <w:sz w:val="24"/>
          <w:szCs w:val="24"/>
          <w:lang w:val="en-US"/>
        </w:rPr>
        <w:t>0,126</w:t>
      </w:r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ya</w:t>
      </w:r>
      <w:r w:rsidR="0062559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265E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9265E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19265E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12,6%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19265E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265E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sisanya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87,4%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disumbangkan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5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9265E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147325F0" w14:textId="443433F9" w:rsidR="00D8227B" w:rsidRDefault="00D8227B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IV.9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D4524">
        <w:rPr>
          <w:rFonts w:ascii="Times New Roman" w:hAnsi="Times New Roman" w:cs="Times New Roman"/>
          <w:sz w:val="24"/>
          <w:szCs w:val="24"/>
          <w:lang w:val="en-US"/>
        </w:rPr>
        <w:t>ersamaan</w:t>
      </w:r>
      <w:proofErr w:type="spellEnd"/>
      <w:r w:rsidR="001D4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4524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54B7">
        <w:rPr>
          <w:rFonts w:ascii="Times New Roman" w:hAnsi="Times New Roman" w:cs="Times New Roman"/>
          <w:sz w:val="24"/>
          <w:szCs w:val="24"/>
          <w:lang w:val="en-US"/>
        </w:rPr>
        <w:t xml:space="preserve">linier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81C2AA" w14:textId="56A51B47" w:rsidR="000B5AC3" w:rsidRDefault="001D4524" w:rsidP="0054009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0,052 + 0,002X</w:t>
      </w:r>
      <w:r w:rsidRPr="001D452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+ 0,429X</w:t>
      </w:r>
      <w:r w:rsidRPr="001D452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0.001X</w:t>
      </w:r>
      <w:r w:rsidRPr="001D452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14:paraId="59E048F3" w14:textId="77777777" w:rsidR="00540090" w:rsidRDefault="00E852D2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="00C554B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54B7">
        <w:rPr>
          <w:rFonts w:ascii="Times New Roman" w:hAnsi="Times New Roman" w:cs="Times New Roman"/>
          <w:sz w:val="24"/>
          <w:szCs w:val="24"/>
          <w:lang w:val="en-US"/>
        </w:rPr>
        <w:t xml:space="preserve">linier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4524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1D4524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524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1D4524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1D4524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1D4524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3B0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AB2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23B0" w:rsidRPr="00AB23B0"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positif</w:t>
      </w:r>
      <w:proofErr w:type="spellEnd"/>
      <w:r w:rsidR="00AB23B0" w:rsidRPr="00AB23B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AB23B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221F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1F1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AB23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4527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6845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527" w:rsidRPr="00684527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68452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Nilai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0,052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 w:rsidRPr="0019265E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4310D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0D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4310D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10D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4310DC" w:rsidRPr="0019265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4310DC" w:rsidRPr="0019265E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43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10DC"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310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5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D4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310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="004310DC"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4310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 w:rsidRPr="00A81D4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310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 w:rsidRPr="00A81D47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4310DC"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0DC" w:rsidRPr="00A81D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310DC">
        <w:rPr>
          <w:rFonts w:ascii="Times New Roman" w:hAnsi="Times New Roman" w:cs="Times New Roman"/>
          <w:sz w:val="24"/>
          <w:szCs w:val="24"/>
        </w:rPr>
        <w:t xml:space="preserve"> 0,052.</w:t>
      </w:r>
    </w:p>
    <w:p w14:paraId="5BE4A16E" w14:textId="470C5191" w:rsidR="00540090" w:rsidRDefault="004310DC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439F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8D439F">
        <w:rPr>
          <w:rFonts w:ascii="Times New Roman" w:hAnsi="Times New Roman" w:cs="Times New Roman"/>
          <w:sz w:val="24"/>
          <w:szCs w:val="24"/>
        </w:rPr>
        <w:t xml:space="preserve"> </w:t>
      </w:r>
      <w:r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0,0</w:t>
      </w:r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kenaikan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43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kali</w:t>
      </w:r>
      <w:r w:rsidR="001B4881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4881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65CF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A70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</w:t>
      </w:r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distress </w:t>
      </w:r>
      <w:proofErr w:type="spellStart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5E6ECD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0,002 </w:t>
      </w:r>
      <w:proofErr w:type="spellStart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353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3F6353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353" w:rsidRPr="008D439F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="00E365CF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47F3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3C73" w:rsidRPr="008D439F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A70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financial </w:t>
      </w:r>
      <w:r w:rsidR="00FB2A70" w:rsidRPr="0007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distress</w:t>
      </w:r>
      <w:r w:rsidR="00FB2A70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0,002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47F3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2647F3" w:rsidRPr="008D43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7F3" w:rsidRPr="008D439F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383C73" w:rsidRPr="008D43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68803B" w14:textId="77777777" w:rsidR="00540090" w:rsidRDefault="00D7114F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BB5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5F2278">
        <w:rPr>
          <w:rFonts w:ascii="Times New Roman" w:hAnsi="Times New Roman" w:cs="Times New Roman"/>
          <w:sz w:val="24"/>
          <w:szCs w:val="24"/>
        </w:rPr>
        <w:t xml:space="preserve">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0,429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kenaikan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0,429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5E0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2315E0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15E0" w:rsidRPr="00D04BB5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0D7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3736DC" w:rsidRPr="00D04BB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736DC" w:rsidRPr="00D04BB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1E6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4BB5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D04B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15E95C" w14:textId="77777777" w:rsidR="00540090" w:rsidRDefault="00140672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BB5">
        <w:rPr>
          <w:rFonts w:ascii="Times New Roman" w:hAnsi="Times New Roman" w:cs="Times New Roman"/>
          <w:sz w:val="24"/>
          <w:szCs w:val="24"/>
        </w:rPr>
        <w:lastRenderedPageBreak/>
        <w:t>Koefisien</w:t>
      </w:r>
      <w:proofErr w:type="spellEnd"/>
      <w:r w:rsidR="005F22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</w:t>
      </w:r>
      <w:r w:rsidR="001140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equity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1404E" w:rsidRPr="0011404E">
        <w:rPr>
          <w:rFonts w:ascii="Times New Roman" w:hAnsi="Times New Roman" w:cs="Times New Roman"/>
          <w:sz w:val="24"/>
          <w:szCs w:val="24"/>
          <w:lang w:val="en-US"/>
        </w:rPr>
        <w:t>-0,001</w:t>
      </w:r>
      <w:r w:rsidR="00114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kenaikan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11404E">
        <w:rPr>
          <w:rFonts w:ascii="Times New Roman" w:hAnsi="Times New Roman" w:cs="Times New Roman"/>
          <w:sz w:val="24"/>
          <w:szCs w:val="24"/>
          <w:lang w:val="en-US"/>
        </w:rPr>
        <w:t>nurun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370A4A">
        <w:rPr>
          <w:rFonts w:ascii="Times New Roman" w:hAnsi="Times New Roman" w:cs="Times New Roman"/>
          <w:sz w:val="24"/>
          <w:szCs w:val="24"/>
          <w:lang w:val="en-US"/>
        </w:rPr>
        <w:t>001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</w:t>
      </w:r>
      <w:r w:rsidR="0011404E">
        <w:rPr>
          <w:rFonts w:ascii="Times New Roman" w:hAnsi="Times New Roman" w:cs="Times New Roman"/>
          <w:i/>
          <w:iCs/>
          <w:sz w:val="24"/>
          <w:szCs w:val="24"/>
          <w:lang w:val="en-US"/>
        </w:rPr>
        <w:t>ck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11404E">
        <w:rPr>
          <w:rFonts w:ascii="Times New Roman" w:hAnsi="Times New Roman" w:cs="Times New Roman"/>
          <w:sz w:val="24"/>
          <w:szCs w:val="24"/>
          <w:lang w:val="en-US"/>
        </w:rPr>
        <w:t>aik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0,</w:t>
      </w:r>
      <w:r w:rsidR="00370A4A">
        <w:rPr>
          <w:rFonts w:ascii="Times New Roman" w:hAnsi="Times New Roman" w:cs="Times New Roman"/>
          <w:sz w:val="24"/>
          <w:szCs w:val="24"/>
          <w:lang w:val="en-US"/>
        </w:rPr>
        <w:t>001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="00AF4EE9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ui</w:t>
      </w:r>
      <w:r w:rsidR="00A272A6">
        <w:rPr>
          <w:rFonts w:ascii="Times New Roman" w:hAnsi="Times New Roman" w:cs="Times New Roman"/>
          <w:i/>
          <w:iCs/>
          <w:sz w:val="24"/>
          <w:szCs w:val="24"/>
          <w:lang w:val="en-US"/>
        </w:rPr>
        <w:t>ck</w:t>
      </w:r>
      <w:r w:rsidR="0011404E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11404E" w:rsidRPr="00D04B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BEBD71" w14:textId="688E31B5" w:rsidR="00374D92" w:rsidRDefault="00F01991" w:rsidP="0054009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1D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F01991">
        <w:rPr>
          <w:rFonts w:ascii="Times New Roman" w:hAnsi="Times New Roman" w:cs="Times New Roman"/>
          <w:i/>
          <w:iCs/>
          <w:sz w:val="24"/>
          <w:szCs w:val="24"/>
        </w:rPr>
        <w:t>return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on </w:t>
      </w:r>
      <w:r w:rsidRPr="00F01991">
        <w:rPr>
          <w:rFonts w:ascii="Times New Roman" w:hAnsi="Times New Roman" w:cs="Times New Roman"/>
          <w:i/>
          <w:iCs/>
          <w:sz w:val="24"/>
          <w:szCs w:val="24"/>
        </w:rPr>
        <w:t>equity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1991">
        <w:rPr>
          <w:rFonts w:ascii="Times New Roman" w:hAnsi="Times New Roman" w:cs="Times New Roman"/>
          <w:i/>
          <w:iCs/>
          <w:sz w:val="24"/>
          <w:szCs w:val="24"/>
        </w:rPr>
        <w:t>quick ratio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F01991">
        <w:rPr>
          <w:rFonts w:ascii="Times New Roman" w:hAnsi="Times New Roman" w:cs="Times New Roman"/>
          <w:i/>
          <w:iCs/>
          <w:sz w:val="24"/>
          <w:szCs w:val="24"/>
        </w:rPr>
        <w:t xml:space="preserve">debt </w:t>
      </w:r>
      <w:r>
        <w:rPr>
          <w:rFonts w:ascii="Times New Roman" w:hAnsi="Times New Roman" w:cs="Times New Roman"/>
          <w:i/>
          <w:iCs/>
          <w:sz w:val="24"/>
          <w:szCs w:val="24"/>
        </w:rPr>
        <w:t>to equity ratio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 w:rsidRPr="00A81D47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A4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EA0">
        <w:rPr>
          <w:rFonts w:ascii="Times New Roman" w:hAnsi="Times New Roman" w:cs="Times New Roman"/>
          <w:sz w:val="24"/>
          <w:szCs w:val="24"/>
        </w:rPr>
        <w:t>F</w:t>
      </w:r>
      <w:r w:rsidRPr="004E0D62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hitung</w:t>
      </w:r>
      <w:proofErr w:type="spellEnd"/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A81D47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A81D47">
        <w:rPr>
          <w:rFonts w:ascii="Times New Roman" w:hAnsi="Times New Roman" w:cs="Times New Roman"/>
          <w:sz w:val="24"/>
          <w:szCs w:val="24"/>
          <w:vertAlign w:val="subscript"/>
        </w:rPr>
        <w:t>tabel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D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81D47">
        <w:rPr>
          <w:rFonts w:ascii="Times New Roman" w:hAnsi="Times New Roman" w:cs="Times New Roman"/>
          <w:sz w:val="24"/>
          <w:szCs w:val="24"/>
        </w:rPr>
        <w:t xml:space="preserve"> α = 0,05.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4D92" w:rsidRPr="00374D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hitung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regresi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berganda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3,603 yang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4D92" w:rsidRPr="00374D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tabel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(yang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1727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="00EE1727">
        <w:rPr>
          <w:rFonts w:ascii="Times New Roman" w:hAnsi="Times New Roman" w:cs="Times New Roman"/>
          <w:sz w:val="24"/>
          <w:szCs w:val="24"/>
          <w:lang w:val="en-US"/>
        </w:rPr>
        <w:t xml:space="preserve"> = n – k – 1 = 79 – 3 – 1 = 75 dan k = n – 1 = 4 – 1 = 3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727">
        <w:rPr>
          <w:rFonts w:ascii="Times New Roman" w:hAnsi="Times New Roman" w:cs="Times New Roman"/>
          <w:sz w:val="24"/>
          <w:szCs w:val="24"/>
          <w:lang w:val="en-US"/>
        </w:rPr>
        <w:t>2,727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4D92" w:rsidRPr="00374D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hitung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3,603 &gt;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4D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tabel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2,727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simultan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D92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374D92" w:rsidRPr="00D04BB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374D92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</w:t>
      </w:r>
      <w:r w:rsidR="00374D92">
        <w:rPr>
          <w:rFonts w:ascii="Times New Roman" w:hAnsi="Times New Roman" w:cs="Times New Roman"/>
          <w:i/>
          <w:iCs/>
          <w:sz w:val="24"/>
          <w:szCs w:val="24"/>
          <w:lang w:val="en-US"/>
        </w:rPr>
        <w:t>ck</w:t>
      </w:r>
      <w:r w:rsidR="00374D92" w:rsidRPr="00D04BB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374D92" w:rsidRPr="00374D9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374D92" w:rsidRPr="00374D92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 w:rsidRPr="00992016">
        <w:rPr>
          <w:rFonts w:ascii="Times New Roman" w:hAnsi="Times New Roman" w:cs="Times New Roman"/>
          <w:color w:val="FF0000"/>
          <w:sz w:val="24"/>
          <w:szCs w:val="24"/>
          <w:lang w:val="en-US"/>
        </w:rPr>
        <w:t>signifikan</w:t>
      </w:r>
      <w:proofErr w:type="spellEnd"/>
      <w:r w:rsidR="00374D92" w:rsidRPr="0099201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4D92" w:rsidRPr="00374D92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74D92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="00374D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8597942" w14:textId="05C2EE1C" w:rsidR="00466531" w:rsidRPr="00C12670" w:rsidRDefault="00466531">
      <w:pPr>
        <w:pStyle w:val="Heading2"/>
        <w:numPr>
          <w:ilvl w:val="1"/>
          <w:numId w:val="21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 w:rsidRPr="00C1267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Pembahasan</w:t>
      </w:r>
      <w:proofErr w:type="spellEnd"/>
    </w:p>
    <w:p w14:paraId="22355D00" w14:textId="340807CE" w:rsidR="00466531" w:rsidRPr="00C12670" w:rsidRDefault="00466531" w:rsidP="002168D6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proofErr w:type="spellStart"/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>Pengaruh</w:t>
      </w:r>
      <w:proofErr w:type="spellEnd"/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137BA2" w:rsidRPr="00C12670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Return on Equity</w:t>
      </w:r>
      <w:r w:rsidR="00137BA2" w:rsidRP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(</w:t>
      </w:r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>ROE</w:t>
      </w:r>
      <w:r w:rsidR="00137BA2" w:rsidRPr="00C12670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>terhadap</w:t>
      </w:r>
      <w:proofErr w:type="spellEnd"/>
      <w:r w:rsidR="00D2061A" w:rsidRP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D2061A" w:rsidRPr="00C12670">
        <w:rPr>
          <w:rFonts w:ascii="Times New Roman" w:hAnsi="Times New Roman" w:cs="Times New Roman"/>
          <w:b/>
          <w:bCs/>
          <w:color w:val="auto"/>
          <w:lang w:val="en-US"/>
        </w:rPr>
        <w:t>Indeks</w:t>
      </w:r>
      <w:proofErr w:type="spellEnd"/>
      <w:r w:rsidRP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12670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Financial Distress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(Z-</w:t>
      </w:r>
      <w:r w:rsidR="00C12670" w:rsidRPr="00C12670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Score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>)</w:t>
      </w:r>
    </w:p>
    <w:p w14:paraId="775C35F8" w14:textId="312261F5" w:rsidR="00013C35" w:rsidRDefault="00013C35" w:rsidP="002168D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3C35">
        <w:rPr>
          <w:rFonts w:ascii="Times New Roman" w:hAnsi="Times New Roman" w:cs="Times New Roman"/>
          <w:sz w:val="24"/>
          <w:szCs w:val="24"/>
          <w:lang w:val="en-US"/>
        </w:rPr>
        <w:t>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69DF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</w:t>
      </w:r>
      <w:r w:rsidR="008269DF" w:rsidRPr="008269D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8269DF">
        <w:rPr>
          <w:rFonts w:ascii="Times New Roman" w:hAnsi="Times New Roman" w:cs="Times New Roman"/>
          <w:i/>
          <w:iCs/>
          <w:sz w:val="24"/>
          <w:szCs w:val="24"/>
          <w:lang w:val="en-US"/>
        </w:rPr>
        <w:t>uity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19D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4919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finansial</w:t>
      </w:r>
      <w:proofErr w:type="spellEnd"/>
      <w:r w:rsidRPr="00013C3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distress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70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254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FA02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0254" w:rsidRPr="00E26598">
        <w:rPr>
          <w:rFonts w:ascii="Times New Roman" w:hAnsi="Times New Roman" w:cs="Times New Roman"/>
          <w:sz w:val="24"/>
          <w:szCs w:val="24"/>
        </w:rPr>
        <w:t>Whitaker (1999)</w:t>
      </w:r>
      <w:r w:rsidR="00FA0254">
        <w:rPr>
          <w:rFonts w:ascii="Times New Roman" w:hAnsi="Times New Roman" w:cs="Times New Roman"/>
          <w:sz w:val="24"/>
          <w:szCs w:val="24"/>
        </w:rPr>
        <w:t>,</w:t>
      </w:r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A0254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FA0254">
        <w:rPr>
          <w:rFonts w:ascii="Times New Roman" w:hAnsi="Times New Roman" w:cs="Times New Roman"/>
          <w:sz w:val="24"/>
          <w:szCs w:val="24"/>
        </w:rPr>
        <w:t>S</w:t>
      </w:r>
      <w:r w:rsidR="00FA0254" w:rsidRPr="00E26598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r w:rsidR="00FA0254" w:rsidRPr="00E26598">
        <w:rPr>
          <w:rFonts w:ascii="Times New Roman" w:hAnsi="Times New Roman" w:cs="Times New Roman"/>
          <w:i/>
          <w:iCs/>
          <w:sz w:val="24"/>
          <w:szCs w:val="24"/>
        </w:rPr>
        <w:t>financial distress</w:t>
      </w:r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A0254" w:rsidRPr="00E2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254" w:rsidRPr="00E2659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A0254">
        <w:rPr>
          <w:rFonts w:ascii="Times New Roman" w:hAnsi="Times New Roman" w:cs="Times New Roman"/>
          <w:sz w:val="24"/>
          <w:szCs w:val="24"/>
        </w:rPr>
        <w:t>”.</w:t>
      </w:r>
      <w:r w:rsidR="00204162">
        <w:rPr>
          <w:rFonts w:ascii="Times New Roman" w:hAnsi="Times New Roman" w:cs="Times New Roman"/>
          <w:sz w:val="24"/>
          <w:szCs w:val="24"/>
        </w:rPr>
        <w:t xml:space="preserve"> </w:t>
      </w:r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>sejalan</w:t>
      </w:r>
      <w:proofErr w:type="spellEnd"/>
      <w:r w:rsidR="00F803B6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F803B6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>tidak</w:t>
      </w:r>
      <w:proofErr w:type="spellEnd"/>
      <w:r w:rsidR="00F803B6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F803B6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>sejalan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oleh ___ yang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162">
        <w:rPr>
          <w:rFonts w:ascii="Times New Roman" w:hAnsi="Times New Roman" w:cs="Times New Roman"/>
          <w:i/>
          <w:iCs/>
          <w:sz w:val="24"/>
          <w:szCs w:val="24"/>
          <w:lang w:val="en-US"/>
        </w:rPr>
        <w:t>return on equity</w:t>
      </w:r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162" w:rsidRPr="002F2A77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E622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224E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162" w:rsidRPr="002F2A77">
        <w:rPr>
          <w:rFonts w:ascii="Times New Roman" w:hAnsi="Times New Roman" w:cs="Times New Roman"/>
          <w:color w:val="FF0000"/>
          <w:sz w:val="24"/>
          <w:szCs w:val="24"/>
          <w:lang w:val="en-US"/>
        </w:rPr>
        <w:t>diterima</w:t>
      </w:r>
      <w:proofErr w:type="spellEnd"/>
      <w:r w:rsidR="00204162" w:rsidRPr="002F2A77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204162" w:rsidRPr="002F2A77">
        <w:rPr>
          <w:rFonts w:ascii="Times New Roman" w:hAnsi="Times New Roman" w:cs="Times New Roman"/>
          <w:color w:val="FF0000"/>
          <w:sz w:val="24"/>
          <w:szCs w:val="24"/>
          <w:lang w:val="en-US"/>
        </w:rPr>
        <w:t>ditolak</w:t>
      </w:r>
      <w:proofErr w:type="spellEnd"/>
      <w:r w:rsidR="0020416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034A0E" w14:textId="77777777" w:rsidR="00382A9D" w:rsidRPr="00013C35" w:rsidRDefault="00382A9D" w:rsidP="00013C35">
      <w:pPr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C92BD" w14:textId="26560994" w:rsidR="00466531" w:rsidRPr="00BF10F4" w:rsidRDefault="00466531" w:rsidP="002168D6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Pengaruh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137BA2" w:rsidRPr="00BF10F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 xml:space="preserve">Quick Ratio </w:t>
      </w:r>
      <w:r w:rsidR="00137BA2" w:rsidRPr="00BF10F4">
        <w:rPr>
          <w:rFonts w:ascii="Times New Roman" w:hAnsi="Times New Roman" w:cs="Times New Roman"/>
          <w:b/>
          <w:bCs/>
          <w:color w:val="auto"/>
          <w:lang w:val="en-US"/>
        </w:rPr>
        <w:t>(</w:t>
      </w:r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QR</w:t>
      </w:r>
      <w:r w:rsidR="00137BA2" w:rsidRPr="00BF10F4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terhadap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D2061A" w:rsidRPr="00BF10F4">
        <w:rPr>
          <w:rFonts w:ascii="Times New Roman" w:hAnsi="Times New Roman" w:cs="Times New Roman"/>
          <w:b/>
          <w:bCs/>
          <w:color w:val="auto"/>
          <w:lang w:val="en-US"/>
        </w:rPr>
        <w:t>Indeks</w:t>
      </w:r>
      <w:proofErr w:type="spellEnd"/>
      <w:r w:rsidR="00D2061A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BF10F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Financial Distress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(Z-</w:t>
      </w:r>
      <w:r w:rsidR="00C12670" w:rsidRPr="00C12670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Score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>)</w:t>
      </w:r>
    </w:p>
    <w:p w14:paraId="79AC5BB6" w14:textId="0B4DEC0E" w:rsidR="005D2675" w:rsidRDefault="002555EA" w:rsidP="002168D6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menaikkan</w:t>
      </w:r>
      <w:proofErr w:type="spellEnd"/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, yang mana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20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61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2555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finansial</w:t>
      </w:r>
      <w:proofErr w:type="spellEnd"/>
      <w:r w:rsidRPr="002555E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distress</w:t>
      </w:r>
      <w:r w:rsidRPr="002555E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3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2675" w:rsidRPr="005D2675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rasio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rasio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aset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lancar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dikurangi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persediaan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6313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D2675">
        <w:rPr>
          <w:rFonts w:ascii="Times New Roman" w:hAnsi="Times New Roman" w:cs="Times New Roman"/>
          <w:sz w:val="24"/>
          <w:szCs w:val="24"/>
          <w:lang w:val="en-US"/>
        </w:rPr>
        <w:t>asio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44C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>
        <w:rPr>
          <w:rFonts w:ascii="Times New Roman" w:hAnsi="Times New Roman" w:cs="Times New Roman"/>
          <w:sz w:val="24"/>
          <w:szCs w:val="24"/>
          <w:lang w:val="en-US"/>
        </w:rPr>
        <w:t>pendek</w:t>
      </w:r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utang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pinjaman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pendek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837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A9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37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ekstrim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D033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6D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33E">
        <w:rPr>
          <w:rFonts w:ascii="Times New Roman" w:hAnsi="Times New Roman" w:cs="Times New Roman"/>
          <w:sz w:val="24"/>
          <w:szCs w:val="24"/>
          <w:lang w:val="en-US"/>
        </w:rPr>
        <w:t>likuiditas</w:t>
      </w:r>
      <w:proofErr w:type="spellEnd"/>
      <w:r w:rsidR="006D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33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paksa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D2675">
        <w:rPr>
          <w:rFonts w:ascii="Times New Roman" w:hAnsi="Times New Roman" w:cs="Times New Roman"/>
          <w:sz w:val="24"/>
          <w:szCs w:val="24"/>
          <w:lang w:val="en-US"/>
        </w:rPr>
        <w:t>aset</w:t>
      </w:r>
      <w:proofErr w:type="spellEnd"/>
      <w:r w:rsidR="006D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terburuk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mengarah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A3B69">
        <w:rPr>
          <w:rFonts w:ascii="Times New Roman" w:hAnsi="Times New Roman" w:cs="Times New Roman"/>
          <w:sz w:val="24"/>
          <w:szCs w:val="24"/>
          <w:lang w:val="en-US"/>
        </w:rPr>
        <w:t>epada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173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="00ED51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5173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kebangkrutan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(Ayu,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Handayani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>Topowijono</w:t>
      </w:r>
      <w:proofErr w:type="spellEnd"/>
      <w:r w:rsidR="005D2675" w:rsidRPr="005D2675">
        <w:rPr>
          <w:rFonts w:ascii="Times New Roman" w:hAnsi="Times New Roman" w:cs="Times New Roman"/>
          <w:sz w:val="24"/>
          <w:szCs w:val="24"/>
          <w:lang w:val="en-US"/>
        </w:rPr>
        <w:t xml:space="preserve">, 2017). </w:t>
      </w:r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>se</w:t>
      </w:r>
      <w:r w:rsidR="00F803B6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>jalan</w:t>
      </w:r>
      <w:proofErr w:type="spellEnd"/>
      <w:r w:rsidR="00F803B6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F803B6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>tidak</w:t>
      </w:r>
      <w:proofErr w:type="spellEnd"/>
      <w:r w:rsidR="00F803B6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2F2A77" w:rsidRPr="00F803B6">
        <w:rPr>
          <w:rFonts w:ascii="Times New Roman" w:hAnsi="Times New Roman" w:cs="Times New Roman"/>
          <w:color w:val="FF0000"/>
          <w:sz w:val="24"/>
          <w:szCs w:val="24"/>
          <w:lang w:val="en-US"/>
        </w:rPr>
        <w:t>sejalan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oleh ___ yang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2A77" w:rsidRPr="002F2A77">
        <w:rPr>
          <w:rFonts w:ascii="Times New Roman" w:hAnsi="Times New Roman" w:cs="Times New Roman"/>
          <w:i/>
          <w:iCs/>
          <w:sz w:val="24"/>
          <w:szCs w:val="24"/>
          <w:lang w:val="en-US"/>
        </w:rPr>
        <w:t>quick ratio</w:t>
      </w:r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0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743D3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2A77" w:rsidRPr="002F2A77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BB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C61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1A73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2A77" w:rsidRPr="002F2A77">
        <w:rPr>
          <w:rFonts w:ascii="Times New Roman" w:hAnsi="Times New Roman" w:cs="Times New Roman"/>
          <w:color w:val="FF0000"/>
          <w:sz w:val="24"/>
          <w:szCs w:val="24"/>
          <w:lang w:val="en-US"/>
        </w:rPr>
        <w:t>diterima</w:t>
      </w:r>
      <w:proofErr w:type="spellEnd"/>
      <w:r w:rsidR="002F2A77" w:rsidRPr="002F2A77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2F2A77" w:rsidRPr="002F2A77">
        <w:rPr>
          <w:rFonts w:ascii="Times New Roman" w:hAnsi="Times New Roman" w:cs="Times New Roman"/>
          <w:color w:val="FF0000"/>
          <w:sz w:val="24"/>
          <w:szCs w:val="24"/>
          <w:lang w:val="en-US"/>
        </w:rPr>
        <w:t>ditolak</w:t>
      </w:r>
      <w:proofErr w:type="spellEnd"/>
      <w:r w:rsidR="002F2A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928DEB" w14:textId="7DE070D8" w:rsidR="00466531" w:rsidRPr="00BF10F4" w:rsidRDefault="00466531" w:rsidP="002168D6">
      <w:pPr>
        <w:pStyle w:val="Heading3"/>
        <w:numPr>
          <w:ilvl w:val="2"/>
          <w:numId w:val="21"/>
        </w:numPr>
        <w:spacing w:line="480" w:lineRule="auto"/>
        <w:ind w:left="709" w:hanging="709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Pengaruh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="00137BA2" w:rsidRPr="00BF10F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 xml:space="preserve">Debt to Equity Ratio </w:t>
      </w:r>
      <w:r w:rsidR="00137BA2" w:rsidRPr="00BF10F4">
        <w:rPr>
          <w:rFonts w:ascii="Times New Roman" w:hAnsi="Times New Roman" w:cs="Times New Roman"/>
          <w:b/>
          <w:bCs/>
          <w:color w:val="auto"/>
          <w:lang w:val="en-US"/>
        </w:rPr>
        <w:t>(</w:t>
      </w:r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DER</w:t>
      </w:r>
      <w:r w:rsidR="00137BA2" w:rsidRPr="00BF10F4">
        <w:rPr>
          <w:rFonts w:ascii="Times New Roman" w:hAnsi="Times New Roman" w:cs="Times New Roman"/>
          <w:b/>
          <w:bCs/>
          <w:color w:val="auto"/>
          <w:lang w:val="en-US"/>
        </w:rPr>
        <w:t>)</w:t>
      </w:r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>terhadap</w:t>
      </w:r>
      <w:proofErr w:type="spellEnd"/>
      <w:r w:rsidR="00D2061A"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proofErr w:type="spellStart"/>
      <w:r w:rsidR="00D2061A" w:rsidRPr="00BF10F4">
        <w:rPr>
          <w:rFonts w:ascii="Times New Roman" w:hAnsi="Times New Roman" w:cs="Times New Roman"/>
          <w:b/>
          <w:bCs/>
          <w:color w:val="auto"/>
          <w:lang w:val="en-US"/>
        </w:rPr>
        <w:t>Indeks</w:t>
      </w:r>
      <w:proofErr w:type="spellEnd"/>
      <w:r w:rsidRPr="00BF10F4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BF10F4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Financial Distress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 xml:space="preserve"> (Z-</w:t>
      </w:r>
      <w:r w:rsidR="00C12670" w:rsidRPr="00C12670">
        <w:rPr>
          <w:rFonts w:ascii="Times New Roman" w:hAnsi="Times New Roman" w:cs="Times New Roman"/>
          <w:b/>
          <w:bCs/>
          <w:i/>
          <w:iCs/>
          <w:color w:val="auto"/>
          <w:lang w:val="en-US"/>
        </w:rPr>
        <w:t>Score</w:t>
      </w:r>
      <w:r w:rsidR="00C12670">
        <w:rPr>
          <w:rFonts w:ascii="Times New Roman" w:hAnsi="Times New Roman" w:cs="Times New Roman"/>
          <w:b/>
          <w:bCs/>
          <w:color w:val="auto"/>
          <w:lang w:val="en-US"/>
        </w:rPr>
        <w:t>)</w:t>
      </w:r>
    </w:p>
    <w:p w14:paraId="6140CAA8" w14:textId="39DC2E32" w:rsidR="00466531" w:rsidRPr="003E62F6" w:rsidRDefault="00E71423" w:rsidP="002168D6">
      <w:pPr>
        <w:spacing w:line="480" w:lineRule="auto"/>
        <w:ind w:firstLine="709"/>
        <w:jc w:val="both"/>
        <w:rPr>
          <w:lang w:val="en-US"/>
        </w:rPr>
      </w:pP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D46A84">
        <w:rPr>
          <w:rFonts w:ascii="Times New Roman" w:hAnsi="Times New Roman" w:cs="Times New Roman"/>
          <w:sz w:val="24"/>
          <w:szCs w:val="24"/>
          <w:lang w:val="en-US"/>
        </w:rPr>
        <w:t>urun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 ratio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, yang mana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71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finansial</w:t>
      </w:r>
      <w:proofErr w:type="spellEnd"/>
      <w:r w:rsidRPr="00E714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distress</w:t>
      </w:r>
      <w:r w:rsidRPr="00E714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Nilai </w:t>
      </w:r>
      <w:r w:rsidR="00F30CFF" w:rsidRPr="00F30CFF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 equity</w:t>
      </w:r>
      <w:r w:rsidR="00F30CF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CFF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CFF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CF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CFF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F30C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pendanaan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F4130">
        <w:rPr>
          <w:rFonts w:ascii="Times New Roman" w:hAnsi="Times New Roman" w:cs="Times New Roman"/>
          <w:sz w:val="24"/>
          <w:szCs w:val="24"/>
          <w:lang w:val="en-US"/>
        </w:rPr>
        <w:t>kreditur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kata lain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utang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pendanaan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AF41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utang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4EC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64E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C56">
        <w:rPr>
          <w:rFonts w:ascii="Times New Roman" w:hAnsi="Times New Roman" w:cs="Times New Roman"/>
          <w:sz w:val="24"/>
          <w:szCs w:val="24"/>
          <w:lang w:val="en-US"/>
        </w:rPr>
        <w:t>utangnya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menempatkan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166A" w:rsidRPr="009A14CA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="009A14C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A14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mengarah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66A">
        <w:rPr>
          <w:rFonts w:ascii="Times New Roman" w:hAnsi="Times New Roman" w:cs="Times New Roman"/>
          <w:sz w:val="24"/>
          <w:szCs w:val="24"/>
          <w:lang w:val="en-US"/>
        </w:rPr>
        <w:t>kebangkrutan</w:t>
      </w:r>
      <w:proofErr w:type="spellEnd"/>
      <w:r w:rsidR="002444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4477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7E16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9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Hasil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sesejalan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oleh ___ yang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9C7">
        <w:rPr>
          <w:rFonts w:ascii="Times New Roman" w:hAnsi="Times New Roman" w:cs="Times New Roman"/>
          <w:i/>
          <w:iCs/>
          <w:sz w:val="24"/>
          <w:szCs w:val="24"/>
          <w:lang w:val="en-US"/>
        </w:rPr>
        <w:t>debt to</w:t>
      </w:r>
      <w:r w:rsidR="00CE79C7" w:rsidRPr="002F2A7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ratio</w:t>
      </w:r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="00AD64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414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AD6414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indeks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9C7" w:rsidRPr="002F2A77">
        <w:rPr>
          <w:rFonts w:ascii="Times New Roman" w:hAnsi="Times New Roman" w:cs="Times New Roman"/>
          <w:i/>
          <w:iCs/>
          <w:sz w:val="24"/>
          <w:szCs w:val="24"/>
          <w:lang w:val="en-US"/>
        </w:rPr>
        <w:t>financial distress</w:t>
      </w:r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>
        <w:rPr>
          <w:rFonts w:ascii="Times New Roman" w:hAnsi="Times New Roman" w:cs="Times New Roman"/>
          <w:sz w:val="24"/>
          <w:szCs w:val="24"/>
          <w:lang w:val="en-US"/>
        </w:rPr>
        <w:t>hipotesis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BB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2B71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101">
        <w:rPr>
          <w:rFonts w:ascii="Times New Roman" w:hAnsi="Times New Roman" w:cs="Times New Roman"/>
          <w:sz w:val="24"/>
          <w:szCs w:val="24"/>
          <w:lang w:val="en-US"/>
        </w:rPr>
        <w:t>dinyatakan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79C7" w:rsidRPr="002F2A77">
        <w:rPr>
          <w:rFonts w:ascii="Times New Roman" w:hAnsi="Times New Roman" w:cs="Times New Roman"/>
          <w:color w:val="FF0000"/>
          <w:sz w:val="24"/>
          <w:szCs w:val="24"/>
          <w:lang w:val="en-US"/>
        </w:rPr>
        <w:t>diterima</w:t>
      </w:r>
      <w:proofErr w:type="spellEnd"/>
      <w:r w:rsidR="00CE79C7" w:rsidRPr="002F2A77">
        <w:rPr>
          <w:rFonts w:ascii="Times New Roman" w:hAnsi="Times New Roman" w:cs="Times New Roman"/>
          <w:color w:val="FF0000"/>
          <w:sz w:val="24"/>
          <w:szCs w:val="24"/>
          <w:lang w:val="en-US"/>
        </w:rPr>
        <w:t>/</w:t>
      </w:r>
      <w:proofErr w:type="spellStart"/>
      <w:r w:rsidR="00CE79C7" w:rsidRPr="002F2A77">
        <w:rPr>
          <w:rFonts w:ascii="Times New Roman" w:hAnsi="Times New Roman" w:cs="Times New Roman"/>
          <w:color w:val="FF0000"/>
          <w:sz w:val="24"/>
          <w:szCs w:val="24"/>
          <w:lang w:val="en-US"/>
        </w:rPr>
        <w:t>ditolak</w:t>
      </w:r>
      <w:proofErr w:type="spellEnd"/>
      <w:r w:rsidR="00CE79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466531" w:rsidRPr="003E62F6" w:rsidSect="004E6B8A">
      <w:footerReference w:type="default" r:id="rId9"/>
      <w:pgSz w:w="11906" w:h="16838" w:code="9"/>
      <w:pgMar w:top="1440" w:right="1134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C7249" w14:textId="77777777" w:rsidR="00AD2E10" w:rsidRDefault="00AD2E10" w:rsidP="003B4583">
      <w:pPr>
        <w:spacing w:after="0" w:line="240" w:lineRule="auto"/>
      </w:pPr>
      <w:r>
        <w:separator/>
      </w:r>
    </w:p>
  </w:endnote>
  <w:endnote w:type="continuationSeparator" w:id="0">
    <w:p w14:paraId="0BBA0D1F" w14:textId="77777777" w:rsidR="00AD2E10" w:rsidRDefault="00AD2E10" w:rsidP="003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 New Roma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887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824A1" w14:textId="12826DA2" w:rsidR="00964549" w:rsidRDefault="00964549" w:rsidP="002B7362">
        <w:pPr>
          <w:pStyle w:val="Footer"/>
          <w:spacing w:line="360" w:lineRule="auto"/>
          <w:jc w:val="center"/>
        </w:pPr>
        <w:r w:rsidRPr="002B736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736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B736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BBA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B736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182B3C" w14:textId="77777777" w:rsidR="00FA64F4" w:rsidRDefault="00FA6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93E34" w14:textId="77777777" w:rsidR="00AD2E10" w:rsidRDefault="00AD2E10" w:rsidP="003B4583">
      <w:pPr>
        <w:spacing w:after="0" w:line="240" w:lineRule="auto"/>
      </w:pPr>
      <w:r>
        <w:separator/>
      </w:r>
    </w:p>
  </w:footnote>
  <w:footnote w:type="continuationSeparator" w:id="0">
    <w:p w14:paraId="763CBF7B" w14:textId="77777777" w:rsidR="00AD2E10" w:rsidRDefault="00AD2E10" w:rsidP="003B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A16"/>
    <w:multiLevelType w:val="hybridMultilevel"/>
    <w:tmpl w:val="F140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A6DEA"/>
    <w:multiLevelType w:val="hybridMultilevel"/>
    <w:tmpl w:val="CD54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C6A"/>
    <w:multiLevelType w:val="hybridMultilevel"/>
    <w:tmpl w:val="52AC09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D5045"/>
    <w:multiLevelType w:val="multilevel"/>
    <w:tmpl w:val="48B01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3B0B55"/>
    <w:multiLevelType w:val="hybridMultilevel"/>
    <w:tmpl w:val="F676BCD8"/>
    <w:lvl w:ilvl="0" w:tplc="0421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17472108"/>
    <w:multiLevelType w:val="hybridMultilevel"/>
    <w:tmpl w:val="FA9617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A6FAD"/>
    <w:multiLevelType w:val="multilevel"/>
    <w:tmpl w:val="B3D459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7" w15:restartNumberingAfterBreak="0">
    <w:nsid w:val="1FF70BA2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8" w15:restartNumberingAfterBreak="0">
    <w:nsid w:val="23EE0CF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917FF5"/>
    <w:multiLevelType w:val="hybridMultilevel"/>
    <w:tmpl w:val="4A9E15A8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 w15:restartNumberingAfterBreak="0">
    <w:nsid w:val="36495A3C"/>
    <w:multiLevelType w:val="multilevel"/>
    <w:tmpl w:val="13BC58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44" w:hanging="1800"/>
      </w:pPr>
      <w:rPr>
        <w:rFonts w:hint="default"/>
      </w:rPr>
    </w:lvl>
  </w:abstractNum>
  <w:abstractNum w:abstractNumId="11" w15:restartNumberingAfterBreak="0">
    <w:nsid w:val="49B1420C"/>
    <w:multiLevelType w:val="multilevel"/>
    <w:tmpl w:val="092AE0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80" w:hanging="1800"/>
      </w:pPr>
      <w:rPr>
        <w:rFonts w:hint="default"/>
      </w:rPr>
    </w:lvl>
  </w:abstractNum>
  <w:abstractNum w:abstractNumId="12" w15:restartNumberingAfterBreak="0">
    <w:nsid w:val="4B392029"/>
    <w:multiLevelType w:val="multilevel"/>
    <w:tmpl w:val="C784C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40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6458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D12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CF54F3"/>
    <w:multiLevelType w:val="hybridMultilevel"/>
    <w:tmpl w:val="8E3E5F38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50F70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CA4323"/>
    <w:multiLevelType w:val="hybridMultilevel"/>
    <w:tmpl w:val="95765BB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77331E"/>
    <w:multiLevelType w:val="multilevel"/>
    <w:tmpl w:val="022492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BF130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C70A7F"/>
    <w:multiLevelType w:val="hybridMultilevel"/>
    <w:tmpl w:val="C9B2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24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897C83"/>
    <w:multiLevelType w:val="hybridMultilevel"/>
    <w:tmpl w:val="870A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63AB"/>
    <w:multiLevelType w:val="hybridMultilevel"/>
    <w:tmpl w:val="D9620F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0759008">
    <w:abstractNumId w:val="3"/>
  </w:num>
  <w:num w:numId="2" w16cid:durableId="1413310623">
    <w:abstractNumId w:val="18"/>
  </w:num>
  <w:num w:numId="3" w16cid:durableId="179859475">
    <w:abstractNumId w:val="8"/>
  </w:num>
  <w:num w:numId="4" w16cid:durableId="1809282019">
    <w:abstractNumId w:val="20"/>
  </w:num>
  <w:num w:numId="5" w16cid:durableId="2035378252">
    <w:abstractNumId w:val="5"/>
  </w:num>
  <w:num w:numId="6" w16cid:durableId="1270771670">
    <w:abstractNumId w:val="2"/>
  </w:num>
  <w:num w:numId="7" w16cid:durableId="1576745192">
    <w:abstractNumId w:val="1"/>
  </w:num>
  <w:num w:numId="8" w16cid:durableId="28187110">
    <w:abstractNumId w:val="22"/>
  </w:num>
  <w:num w:numId="9" w16cid:durableId="356079676">
    <w:abstractNumId w:val="0"/>
  </w:num>
  <w:num w:numId="10" w16cid:durableId="140267758">
    <w:abstractNumId w:val="10"/>
  </w:num>
  <w:num w:numId="11" w16cid:durableId="319894723">
    <w:abstractNumId w:val="12"/>
  </w:num>
  <w:num w:numId="12" w16cid:durableId="573860484">
    <w:abstractNumId w:val="19"/>
  </w:num>
  <w:num w:numId="13" w16cid:durableId="1249971835">
    <w:abstractNumId w:val="4"/>
  </w:num>
  <w:num w:numId="14" w16cid:durableId="901528489">
    <w:abstractNumId w:val="16"/>
  </w:num>
  <w:num w:numId="15" w16cid:durableId="2090615777">
    <w:abstractNumId w:val="15"/>
  </w:num>
  <w:num w:numId="16" w16cid:durableId="1492519727">
    <w:abstractNumId w:val="11"/>
  </w:num>
  <w:num w:numId="17" w16cid:durableId="2078555779">
    <w:abstractNumId w:val="7"/>
  </w:num>
  <w:num w:numId="18" w16cid:durableId="1131362369">
    <w:abstractNumId w:val="6"/>
  </w:num>
  <w:num w:numId="19" w16cid:durableId="1983342396">
    <w:abstractNumId w:val="21"/>
  </w:num>
  <w:num w:numId="20" w16cid:durableId="223878721">
    <w:abstractNumId w:val="13"/>
  </w:num>
  <w:num w:numId="21" w16cid:durableId="1220826383">
    <w:abstractNumId w:val="17"/>
  </w:num>
  <w:num w:numId="22" w16cid:durableId="1350990193">
    <w:abstractNumId w:val="9"/>
  </w:num>
  <w:num w:numId="23" w16cid:durableId="1101296112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32"/>
    <w:rsid w:val="0000062D"/>
    <w:rsid w:val="0000099B"/>
    <w:rsid w:val="0000166A"/>
    <w:rsid w:val="00001B9E"/>
    <w:rsid w:val="00001BAC"/>
    <w:rsid w:val="00002009"/>
    <w:rsid w:val="000022BE"/>
    <w:rsid w:val="00006848"/>
    <w:rsid w:val="000076A2"/>
    <w:rsid w:val="00007C58"/>
    <w:rsid w:val="00010226"/>
    <w:rsid w:val="000134DF"/>
    <w:rsid w:val="00013C35"/>
    <w:rsid w:val="00015E7B"/>
    <w:rsid w:val="00017370"/>
    <w:rsid w:val="00017A05"/>
    <w:rsid w:val="000204C4"/>
    <w:rsid w:val="00020618"/>
    <w:rsid w:val="000212A9"/>
    <w:rsid w:val="00021B48"/>
    <w:rsid w:val="000222B7"/>
    <w:rsid w:val="00022E39"/>
    <w:rsid w:val="00023328"/>
    <w:rsid w:val="00024EF5"/>
    <w:rsid w:val="00025B5C"/>
    <w:rsid w:val="000263A5"/>
    <w:rsid w:val="0002791A"/>
    <w:rsid w:val="00031AFC"/>
    <w:rsid w:val="00032378"/>
    <w:rsid w:val="000324DB"/>
    <w:rsid w:val="00032DAC"/>
    <w:rsid w:val="0003454B"/>
    <w:rsid w:val="00034DF6"/>
    <w:rsid w:val="000351AA"/>
    <w:rsid w:val="00040B1D"/>
    <w:rsid w:val="0004210F"/>
    <w:rsid w:val="00043E2A"/>
    <w:rsid w:val="00044F4E"/>
    <w:rsid w:val="00046321"/>
    <w:rsid w:val="00046E14"/>
    <w:rsid w:val="00050576"/>
    <w:rsid w:val="00053E94"/>
    <w:rsid w:val="0005421D"/>
    <w:rsid w:val="00056369"/>
    <w:rsid w:val="00060E0A"/>
    <w:rsid w:val="00064690"/>
    <w:rsid w:val="00065B02"/>
    <w:rsid w:val="00066AFF"/>
    <w:rsid w:val="000716D8"/>
    <w:rsid w:val="00071E02"/>
    <w:rsid w:val="00071E0B"/>
    <w:rsid w:val="00071ED9"/>
    <w:rsid w:val="00072D6C"/>
    <w:rsid w:val="000732F2"/>
    <w:rsid w:val="0007452B"/>
    <w:rsid w:val="00074A03"/>
    <w:rsid w:val="00076093"/>
    <w:rsid w:val="00076654"/>
    <w:rsid w:val="00076786"/>
    <w:rsid w:val="0007679F"/>
    <w:rsid w:val="000815CE"/>
    <w:rsid w:val="00083A1D"/>
    <w:rsid w:val="000855FF"/>
    <w:rsid w:val="000909CE"/>
    <w:rsid w:val="00090F20"/>
    <w:rsid w:val="000920FF"/>
    <w:rsid w:val="000923F0"/>
    <w:rsid w:val="000944A8"/>
    <w:rsid w:val="00095386"/>
    <w:rsid w:val="00095C43"/>
    <w:rsid w:val="0009685F"/>
    <w:rsid w:val="000A2373"/>
    <w:rsid w:val="000A2CDF"/>
    <w:rsid w:val="000A3150"/>
    <w:rsid w:val="000A3B69"/>
    <w:rsid w:val="000A5A65"/>
    <w:rsid w:val="000A62F0"/>
    <w:rsid w:val="000A6802"/>
    <w:rsid w:val="000B01A3"/>
    <w:rsid w:val="000B0274"/>
    <w:rsid w:val="000B1749"/>
    <w:rsid w:val="000B3961"/>
    <w:rsid w:val="000B5645"/>
    <w:rsid w:val="000B5AC3"/>
    <w:rsid w:val="000C0332"/>
    <w:rsid w:val="000C2571"/>
    <w:rsid w:val="000C38E6"/>
    <w:rsid w:val="000C7B20"/>
    <w:rsid w:val="000D3295"/>
    <w:rsid w:val="000D7AA7"/>
    <w:rsid w:val="000D7AF1"/>
    <w:rsid w:val="000E095D"/>
    <w:rsid w:val="000E166B"/>
    <w:rsid w:val="000E1967"/>
    <w:rsid w:val="000E28DC"/>
    <w:rsid w:val="000E3696"/>
    <w:rsid w:val="000E3C14"/>
    <w:rsid w:val="000E57E9"/>
    <w:rsid w:val="000E6759"/>
    <w:rsid w:val="000E7311"/>
    <w:rsid w:val="000F290F"/>
    <w:rsid w:val="000F2CEF"/>
    <w:rsid w:val="000F4C2F"/>
    <w:rsid w:val="000F4E16"/>
    <w:rsid w:val="000F73EF"/>
    <w:rsid w:val="000F7407"/>
    <w:rsid w:val="000F7B45"/>
    <w:rsid w:val="0010236F"/>
    <w:rsid w:val="00105545"/>
    <w:rsid w:val="00105E52"/>
    <w:rsid w:val="00110915"/>
    <w:rsid w:val="00112D45"/>
    <w:rsid w:val="0011404E"/>
    <w:rsid w:val="00116588"/>
    <w:rsid w:val="001236EB"/>
    <w:rsid w:val="001238F0"/>
    <w:rsid w:val="00124973"/>
    <w:rsid w:val="00125177"/>
    <w:rsid w:val="00126738"/>
    <w:rsid w:val="001305DA"/>
    <w:rsid w:val="0013094E"/>
    <w:rsid w:val="001309C4"/>
    <w:rsid w:val="00130B97"/>
    <w:rsid w:val="00136648"/>
    <w:rsid w:val="001370D7"/>
    <w:rsid w:val="001378DA"/>
    <w:rsid w:val="00137BA2"/>
    <w:rsid w:val="00140033"/>
    <w:rsid w:val="00140533"/>
    <w:rsid w:val="00140672"/>
    <w:rsid w:val="00143365"/>
    <w:rsid w:val="00143567"/>
    <w:rsid w:val="001447E6"/>
    <w:rsid w:val="00150DCF"/>
    <w:rsid w:val="001631FA"/>
    <w:rsid w:val="0016467C"/>
    <w:rsid w:val="0016490F"/>
    <w:rsid w:val="00165A65"/>
    <w:rsid w:val="001667B9"/>
    <w:rsid w:val="00167A63"/>
    <w:rsid w:val="00172741"/>
    <w:rsid w:val="001748F5"/>
    <w:rsid w:val="00177087"/>
    <w:rsid w:val="00177652"/>
    <w:rsid w:val="0017769F"/>
    <w:rsid w:val="001779F4"/>
    <w:rsid w:val="00180F3C"/>
    <w:rsid w:val="0018278E"/>
    <w:rsid w:val="0018293E"/>
    <w:rsid w:val="001843DF"/>
    <w:rsid w:val="00187CF5"/>
    <w:rsid w:val="00191627"/>
    <w:rsid w:val="0019265E"/>
    <w:rsid w:val="00192B8E"/>
    <w:rsid w:val="001979A1"/>
    <w:rsid w:val="001A24A1"/>
    <w:rsid w:val="001B14B3"/>
    <w:rsid w:val="001B15BE"/>
    <w:rsid w:val="001B1904"/>
    <w:rsid w:val="001B21C0"/>
    <w:rsid w:val="001B4881"/>
    <w:rsid w:val="001B49A1"/>
    <w:rsid w:val="001B5CC8"/>
    <w:rsid w:val="001B5DA4"/>
    <w:rsid w:val="001B64BA"/>
    <w:rsid w:val="001B6B51"/>
    <w:rsid w:val="001C2492"/>
    <w:rsid w:val="001C2E00"/>
    <w:rsid w:val="001C5F67"/>
    <w:rsid w:val="001C74CE"/>
    <w:rsid w:val="001D06F2"/>
    <w:rsid w:val="001D4524"/>
    <w:rsid w:val="001D68AE"/>
    <w:rsid w:val="001D7A3B"/>
    <w:rsid w:val="001E0EA6"/>
    <w:rsid w:val="001E1945"/>
    <w:rsid w:val="001E2922"/>
    <w:rsid w:val="001E52D6"/>
    <w:rsid w:val="001F1EA8"/>
    <w:rsid w:val="001F205E"/>
    <w:rsid w:val="001F4430"/>
    <w:rsid w:val="00200693"/>
    <w:rsid w:val="00200E4F"/>
    <w:rsid w:val="0020186C"/>
    <w:rsid w:val="00203F37"/>
    <w:rsid w:val="00204162"/>
    <w:rsid w:val="002041E2"/>
    <w:rsid w:val="002067CD"/>
    <w:rsid w:val="00206BD8"/>
    <w:rsid w:val="0021321A"/>
    <w:rsid w:val="00215603"/>
    <w:rsid w:val="00216328"/>
    <w:rsid w:val="00216872"/>
    <w:rsid w:val="002168D6"/>
    <w:rsid w:val="002177F6"/>
    <w:rsid w:val="00220430"/>
    <w:rsid w:val="0022113E"/>
    <w:rsid w:val="00221F1F"/>
    <w:rsid w:val="002257DF"/>
    <w:rsid w:val="002315E0"/>
    <w:rsid w:val="002334A8"/>
    <w:rsid w:val="00234974"/>
    <w:rsid w:val="002349C8"/>
    <w:rsid w:val="00235A8B"/>
    <w:rsid w:val="00235DDC"/>
    <w:rsid w:val="00236650"/>
    <w:rsid w:val="00236C68"/>
    <w:rsid w:val="002409D1"/>
    <w:rsid w:val="002418CE"/>
    <w:rsid w:val="00241FFE"/>
    <w:rsid w:val="00243DD4"/>
    <w:rsid w:val="00244477"/>
    <w:rsid w:val="002447E1"/>
    <w:rsid w:val="00244B2E"/>
    <w:rsid w:val="00247683"/>
    <w:rsid w:val="0025047D"/>
    <w:rsid w:val="00250D71"/>
    <w:rsid w:val="002519C2"/>
    <w:rsid w:val="00253115"/>
    <w:rsid w:val="00254CCC"/>
    <w:rsid w:val="002555EA"/>
    <w:rsid w:val="002555F6"/>
    <w:rsid w:val="00256849"/>
    <w:rsid w:val="00257FBA"/>
    <w:rsid w:val="00260A07"/>
    <w:rsid w:val="00262680"/>
    <w:rsid w:val="0026290C"/>
    <w:rsid w:val="00263632"/>
    <w:rsid w:val="00263AD7"/>
    <w:rsid w:val="00263FBD"/>
    <w:rsid w:val="00264607"/>
    <w:rsid w:val="002647F3"/>
    <w:rsid w:val="00264895"/>
    <w:rsid w:val="002657BE"/>
    <w:rsid w:val="00265BBE"/>
    <w:rsid w:val="00265FB2"/>
    <w:rsid w:val="00270108"/>
    <w:rsid w:val="002708A3"/>
    <w:rsid w:val="00272BEA"/>
    <w:rsid w:val="00272E3D"/>
    <w:rsid w:val="00273AA8"/>
    <w:rsid w:val="002804B2"/>
    <w:rsid w:val="00281313"/>
    <w:rsid w:val="00282CD3"/>
    <w:rsid w:val="00283379"/>
    <w:rsid w:val="00283D02"/>
    <w:rsid w:val="00284252"/>
    <w:rsid w:val="002866D5"/>
    <w:rsid w:val="0029151A"/>
    <w:rsid w:val="0029169F"/>
    <w:rsid w:val="00291EFA"/>
    <w:rsid w:val="00297679"/>
    <w:rsid w:val="00297E16"/>
    <w:rsid w:val="002A0815"/>
    <w:rsid w:val="002A1318"/>
    <w:rsid w:val="002A1C11"/>
    <w:rsid w:val="002A2523"/>
    <w:rsid w:val="002A2DD6"/>
    <w:rsid w:val="002A41E6"/>
    <w:rsid w:val="002A6712"/>
    <w:rsid w:val="002B060D"/>
    <w:rsid w:val="002B20FB"/>
    <w:rsid w:val="002B49D1"/>
    <w:rsid w:val="002B4BC9"/>
    <w:rsid w:val="002B6FE8"/>
    <w:rsid w:val="002B6FED"/>
    <w:rsid w:val="002B7101"/>
    <w:rsid w:val="002B7362"/>
    <w:rsid w:val="002B77A3"/>
    <w:rsid w:val="002B7DB8"/>
    <w:rsid w:val="002C4146"/>
    <w:rsid w:val="002C4CC1"/>
    <w:rsid w:val="002C537C"/>
    <w:rsid w:val="002D2145"/>
    <w:rsid w:val="002D2F2A"/>
    <w:rsid w:val="002D3393"/>
    <w:rsid w:val="002D35CE"/>
    <w:rsid w:val="002D395F"/>
    <w:rsid w:val="002E0638"/>
    <w:rsid w:val="002E06BB"/>
    <w:rsid w:val="002E12A0"/>
    <w:rsid w:val="002E1408"/>
    <w:rsid w:val="002E229A"/>
    <w:rsid w:val="002E286D"/>
    <w:rsid w:val="002E5F07"/>
    <w:rsid w:val="002E729F"/>
    <w:rsid w:val="002E7C2F"/>
    <w:rsid w:val="002F054A"/>
    <w:rsid w:val="002F0F5E"/>
    <w:rsid w:val="002F2A77"/>
    <w:rsid w:val="002F37C2"/>
    <w:rsid w:val="002F48B1"/>
    <w:rsid w:val="002F7655"/>
    <w:rsid w:val="003009D7"/>
    <w:rsid w:val="00301162"/>
    <w:rsid w:val="00302DD6"/>
    <w:rsid w:val="00304A3D"/>
    <w:rsid w:val="00306AB6"/>
    <w:rsid w:val="0030761F"/>
    <w:rsid w:val="00310386"/>
    <w:rsid w:val="0031510E"/>
    <w:rsid w:val="00321095"/>
    <w:rsid w:val="00324F36"/>
    <w:rsid w:val="00325372"/>
    <w:rsid w:val="00326FAE"/>
    <w:rsid w:val="0032743F"/>
    <w:rsid w:val="00330F40"/>
    <w:rsid w:val="00331E9D"/>
    <w:rsid w:val="0033482C"/>
    <w:rsid w:val="00335539"/>
    <w:rsid w:val="003408A9"/>
    <w:rsid w:val="003430A9"/>
    <w:rsid w:val="00344763"/>
    <w:rsid w:val="00344CD3"/>
    <w:rsid w:val="00350641"/>
    <w:rsid w:val="00352225"/>
    <w:rsid w:val="0035265B"/>
    <w:rsid w:val="00353895"/>
    <w:rsid w:val="0036731D"/>
    <w:rsid w:val="00367E6E"/>
    <w:rsid w:val="00370A4A"/>
    <w:rsid w:val="0037205A"/>
    <w:rsid w:val="0037219F"/>
    <w:rsid w:val="003736DC"/>
    <w:rsid w:val="00374D92"/>
    <w:rsid w:val="00375642"/>
    <w:rsid w:val="003776EB"/>
    <w:rsid w:val="00377BB8"/>
    <w:rsid w:val="003807C5"/>
    <w:rsid w:val="00381CB0"/>
    <w:rsid w:val="00382A9D"/>
    <w:rsid w:val="0038341F"/>
    <w:rsid w:val="00383C73"/>
    <w:rsid w:val="003866BE"/>
    <w:rsid w:val="00387202"/>
    <w:rsid w:val="00387739"/>
    <w:rsid w:val="00390E11"/>
    <w:rsid w:val="00394629"/>
    <w:rsid w:val="00394A13"/>
    <w:rsid w:val="00396612"/>
    <w:rsid w:val="00396E05"/>
    <w:rsid w:val="00397DD2"/>
    <w:rsid w:val="003A1B7B"/>
    <w:rsid w:val="003A1EB5"/>
    <w:rsid w:val="003A539A"/>
    <w:rsid w:val="003B262C"/>
    <w:rsid w:val="003B4583"/>
    <w:rsid w:val="003B5767"/>
    <w:rsid w:val="003B6671"/>
    <w:rsid w:val="003C1BE8"/>
    <w:rsid w:val="003C4E9C"/>
    <w:rsid w:val="003C6DEF"/>
    <w:rsid w:val="003D07C3"/>
    <w:rsid w:val="003D25E0"/>
    <w:rsid w:val="003D2CF6"/>
    <w:rsid w:val="003D4772"/>
    <w:rsid w:val="003D7124"/>
    <w:rsid w:val="003E199A"/>
    <w:rsid w:val="003E3230"/>
    <w:rsid w:val="003E3A85"/>
    <w:rsid w:val="003E4691"/>
    <w:rsid w:val="003E4C7F"/>
    <w:rsid w:val="003E5873"/>
    <w:rsid w:val="003E62F6"/>
    <w:rsid w:val="003E719D"/>
    <w:rsid w:val="003F48BC"/>
    <w:rsid w:val="003F6353"/>
    <w:rsid w:val="003F6728"/>
    <w:rsid w:val="003F7DDE"/>
    <w:rsid w:val="003F7F3D"/>
    <w:rsid w:val="00401776"/>
    <w:rsid w:val="00401BA9"/>
    <w:rsid w:val="00402ED3"/>
    <w:rsid w:val="00403CF3"/>
    <w:rsid w:val="0040641B"/>
    <w:rsid w:val="00407DD8"/>
    <w:rsid w:val="00412EB8"/>
    <w:rsid w:val="00413417"/>
    <w:rsid w:val="00414986"/>
    <w:rsid w:val="00414DDC"/>
    <w:rsid w:val="004153BE"/>
    <w:rsid w:val="00417D8A"/>
    <w:rsid w:val="004235F7"/>
    <w:rsid w:val="0042574E"/>
    <w:rsid w:val="00425D78"/>
    <w:rsid w:val="0042624B"/>
    <w:rsid w:val="00426AEB"/>
    <w:rsid w:val="004310DC"/>
    <w:rsid w:val="00433675"/>
    <w:rsid w:val="004360FD"/>
    <w:rsid w:val="0043776C"/>
    <w:rsid w:val="00437F1C"/>
    <w:rsid w:val="00437FED"/>
    <w:rsid w:val="00441218"/>
    <w:rsid w:val="00441474"/>
    <w:rsid w:val="00441941"/>
    <w:rsid w:val="00441A51"/>
    <w:rsid w:val="00441AE6"/>
    <w:rsid w:val="00442962"/>
    <w:rsid w:val="004439E5"/>
    <w:rsid w:val="00443BC3"/>
    <w:rsid w:val="004458F7"/>
    <w:rsid w:val="00445B1A"/>
    <w:rsid w:val="004464DE"/>
    <w:rsid w:val="00452333"/>
    <w:rsid w:val="004549EB"/>
    <w:rsid w:val="00455655"/>
    <w:rsid w:val="00455BC7"/>
    <w:rsid w:val="00456878"/>
    <w:rsid w:val="00457C63"/>
    <w:rsid w:val="00460D22"/>
    <w:rsid w:val="00463F8E"/>
    <w:rsid w:val="00464EC8"/>
    <w:rsid w:val="00466531"/>
    <w:rsid w:val="00466F46"/>
    <w:rsid w:val="00470EE6"/>
    <w:rsid w:val="00472DEB"/>
    <w:rsid w:val="0047470F"/>
    <w:rsid w:val="00481746"/>
    <w:rsid w:val="0048206D"/>
    <w:rsid w:val="00485312"/>
    <w:rsid w:val="004860AF"/>
    <w:rsid w:val="0048716E"/>
    <w:rsid w:val="004919D6"/>
    <w:rsid w:val="0049361E"/>
    <w:rsid w:val="00495D77"/>
    <w:rsid w:val="004A12FB"/>
    <w:rsid w:val="004A2B35"/>
    <w:rsid w:val="004A55A9"/>
    <w:rsid w:val="004A6007"/>
    <w:rsid w:val="004A6621"/>
    <w:rsid w:val="004C1BFC"/>
    <w:rsid w:val="004C5E8D"/>
    <w:rsid w:val="004D1B94"/>
    <w:rsid w:val="004D4B73"/>
    <w:rsid w:val="004D4E2A"/>
    <w:rsid w:val="004D4E90"/>
    <w:rsid w:val="004D72BE"/>
    <w:rsid w:val="004D7678"/>
    <w:rsid w:val="004E0D62"/>
    <w:rsid w:val="004E2FDD"/>
    <w:rsid w:val="004E3438"/>
    <w:rsid w:val="004E6B8A"/>
    <w:rsid w:val="004E6EB9"/>
    <w:rsid w:val="004F00EF"/>
    <w:rsid w:val="004F054D"/>
    <w:rsid w:val="004F2883"/>
    <w:rsid w:val="004F4E25"/>
    <w:rsid w:val="004F7362"/>
    <w:rsid w:val="004F7568"/>
    <w:rsid w:val="0050128C"/>
    <w:rsid w:val="005028D0"/>
    <w:rsid w:val="00505197"/>
    <w:rsid w:val="005121F3"/>
    <w:rsid w:val="005121F5"/>
    <w:rsid w:val="00513461"/>
    <w:rsid w:val="00514B5B"/>
    <w:rsid w:val="005151EB"/>
    <w:rsid w:val="005171E5"/>
    <w:rsid w:val="00517B79"/>
    <w:rsid w:val="00517C92"/>
    <w:rsid w:val="00520473"/>
    <w:rsid w:val="00521160"/>
    <w:rsid w:val="005223C4"/>
    <w:rsid w:val="00524603"/>
    <w:rsid w:val="00525437"/>
    <w:rsid w:val="0052674C"/>
    <w:rsid w:val="0052717A"/>
    <w:rsid w:val="00527AD0"/>
    <w:rsid w:val="00530224"/>
    <w:rsid w:val="005302DC"/>
    <w:rsid w:val="00530C49"/>
    <w:rsid w:val="00531CF5"/>
    <w:rsid w:val="00532403"/>
    <w:rsid w:val="00534A1E"/>
    <w:rsid w:val="00534C3E"/>
    <w:rsid w:val="005355EF"/>
    <w:rsid w:val="0053572B"/>
    <w:rsid w:val="00537228"/>
    <w:rsid w:val="00537877"/>
    <w:rsid w:val="00540090"/>
    <w:rsid w:val="00540DDB"/>
    <w:rsid w:val="00541FCB"/>
    <w:rsid w:val="00543596"/>
    <w:rsid w:val="00543EB9"/>
    <w:rsid w:val="0054572D"/>
    <w:rsid w:val="00545E2C"/>
    <w:rsid w:val="0054645F"/>
    <w:rsid w:val="00550E16"/>
    <w:rsid w:val="00555648"/>
    <w:rsid w:val="00555B0F"/>
    <w:rsid w:val="00556735"/>
    <w:rsid w:val="005618D3"/>
    <w:rsid w:val="00563009"/>
    <w:rsid w:val="00570410"/>
    <w:rsid w:val="00572C7A"/>
    <w:rsid w:val="0057569C"/>
    <w:rsid w:val="00575FDB"/>
    <w:rsid w:val="0057790F"/>
    <w:rsid w:val="00577AFE"/>
    <w:rsid w:val="00582378"/>
    <w:rsid w:val="0058395C"/>
    <w:rsid w:val="00584B58"/>
    <w:rsid w:val="00584CE9"/>
    <w:rsid w:val="00590780"/>
    <w:rsid w:val="005917F7"/>
    <w:rsid w:val="0059195B"/>
    <w:rsid w:val="00592F09"/>
    <w:rsid w:val="005A1D17"/>
    <w:rsid w:val="005A2CCA"/>
    <w:rsid w:val="005A3E6D"/>
    <w:rsid w:val="005A4778"/>
    <w:rsid w:val="005A4C88"/>
    <w:rsid w:val="005A6A7A"/>
    <w:rsid w:val="005A7BFF"/>
    <w:rsid w:val="005A7DD3"/>
    <w:rsid w:val="005B00E7"/>
    <w:rsid w:val="005B3A73"/>
    <w:rsid w:val="005B3E9D"/>
    <w:rsid w:val="005B4684"/>
    <w:rsid w:val="005B46F9"/>
    <w:rsid w:val="005C5447"/>
    <w:rsid w:val="005C689B"/>
    <w:rsid w:val="005C76A1"/>
    <w:rsid w:val="005C7C16"/>
    <w:rsid w:val="005D127D"/>
    <w:rsid w:val="005D16FF"/>
    <w:rsid w:val="005D1DF6"/>
    <w:rsid w:val="005D1FC2"/>
    <w:rsid w:val="005D2675"/>
    <w:rsid w:val="005D38B5"/>
    <w:rsid w:val="005D3E8B"/>
    <w:rsid w:val="005D510D"/>
    <w:rsid w:val="005D679F"/>
    <w:rsid w:val="005D6A42"/>
    <w:rsid w:val="005D7B2C"/>
    <w:rsid w:val="005D7C3E"/>
    <w:rsid w:val="005E0410"/>
    <w:rsid w:val="005E0FF6"/>
    <w:rsid w:val="005E1A3D"/>
    <w:rsid w:val="005E2F07"/>
    <w:rsid w:val="005E32AB"/>
    <w:rsid w:val="005E3F4F"/>
    <w:rsid w:val="005E64A0"/>
    <w:rsid w:val="005E6ECD"/>
    <w:rsid w:val="005E7B0B"/>
    <w:rsid w:val="005F2278"/>
    <w:rsid w:val="006046B1"/>
    <w:rsid w:val="006058D6"/>
    <w:rsid w:val="006068C4"/>
    <w:rsid w:val="00606BEA"/>
    <w:rsid w:val="006076F0"/>
    <w:rsid w:val="00607C7F"/>
    <w:rsid w:val="00611B44"/>
    <w:rsid w:val="00613ABF"/>
    <w:rsid w:val="00613C9D"/>
    <w:rsid w:val="00614DFC"/>
    <w:rsid w:val="00615661"/>
    <w:rsid w:val="00620C68"/>
    <w:rsid w:val="0062279F"/>
    <w:rsid w:val="00623DD3"/>
    <w:rsid w:val="0062477E"/>
    <w:rsid w:val="00625598"/>
    <w:rsid w:val="00625C35"/>
    <w:rsid w:val="00627BA1"/>
    <w:rsid w:val="00627F44"/>
    <w:rsid w:val="0063149C"/>
    <w:rsid w:val="00633117"/>
    <w:rsid w:val="00633B78"/>
    <w:rsid w:val="00637953"/>
    <w:rsid w:val="00640F4B"/>
    <w:rsid w:val="0064127A"/>
    <w:rsid w:val="00641AD9"/>
    <w:rsid w:val="0064481A"/>
    <w:rsid w:val="00647053"/>
    <w:rsid w:val="0065077C"/>
    <w:rsid w:val="00650ACC"/>
    <w:rsid w:val="00651644"/>
    <w:rsid w:val="0065168A"/>
    <w:rsid w:val="00651D9D"/>
    <w:rsid w:val="00653B62"/>
    <w:rsid w:val="00654D24"/>
    <w:rsid w:val="0065579F"/>
    <w:rsid w:val="0066398C"/>
    <w:rsid w:val="006639A8"/>
    <w:rsid w:val="00664DC0"/>
    <w:rsid w:val="006661B8"/>
    <w:rsid w:val="00670024"/>
    <w:rsid w:val="00672CCC"/>
    <w:rsid w:val="006744C2"/>
    <w:rsid w:val="006815B5"/>
    <w:rsid w:val="00682841"/>
    <w:rsid w:val="0068393F"/>
    <w:rsid w:val="0068444C"/>
    <w:rsid w:val="00684527"/>
    <w:rsid w:val="00685733"/>
    <w:rsid w:val="00685A16"/>
    <w:rsid w:val="00687143"/>
    <w:rsid w:val="00692695"/>
    <w:rsid w:val="006941E3"/>
    <w:rsid w:val="00695F11"/>
    <w:rsid w:val="006A231F"/>
    <w:rsid w:val="006A27AF"/>
    <w:rsid w:val="006A5282"/>
    <w:rsid w:val="006A6A71"/>
    <w:rsid w:val="006A6EB5"/>
    <w:rsid w:val="006A750F"/>
    <w:rsid w:val="006A787B"/>
    <w:rsid w:val="006A7CC6"/>
    <w:rsid w:val="006B1203"/>
    <w:rsid w:val="006B5052"/>
    <w:rsid w:val="006B7751"/>
    <w:rsid w:val="006C0AE9"/>
    <w:rsid w:val="006C1E45"/>
    <w:rsid w:val="006C2763"/>
    <w:rsid w:val="006C2A15"/>
    <w:rsid w:val="006C3984"/>
    <w:rsid w:val="006C3E8B"/>
    <w:rsid w:val="006C7753"/>
    <w:rsid w:val="006D020E"/>
    <w:rsid w:val="006D033E"/>
    <w:rsid w:val="006D1984"/>
    <w:rsid w:val="006D1A40"/>
    <w:rsid w:val="006D3DE5"/>
    <w:rsid w:val="006E10F3"/>
    <w:rsid w:val="006E2815"/>
    <w:rsid w:val="006E5BD7"/>
    <w:rsid w:val="006E733D"/>
    <w:rsid w:val="006E7995"/>
    <w:rsid w:val="006F067C"/>
    <w:rsid w:val="006F1662"/>
    <w:rsid w:val="006F1AE8"/>
    <w:rsid w:val="006F371D"/>
    <w:rsid w:val="006F5A67"/>
    <w:rsid w:val="006F5B30"/>
    <w:rsid w:val="006F76BB"/>
    <w:rsid w:val="006F7A20"/>
    <w:rsid w:val="007007F5"/>
    <w:rsid w:val="00700B79"/>
    <w:rsid w:val="007010F8"/>
    <w:rsid w:val="00704D9F"/>
    <w:rsid w:val="00706A22"/>
    <w:rsid w:val="007071B4"/>
    <w:rsid w:val="0070720E"/>
    <w:rsid w:val="0070728A"/>
    <w:rsid w:val="00707D01"/>
    <w:rsid w:val="00710437"/>
    <w:rsid w:val="007105D7"/>
    <w:rsid w:val="00716A3E"/>
    <w:rsid w:val="007237F8"/>
    <w:rsid w:val="00723A5C"/>
    <w:rsid w:val="00723E12"/>
    <w:rsid w:val="007247D8"/>
    <w:rsid w:val="00724B6B"/>
    <w:rsid w:val="00724CCB"/>
    <w:rsid w:val="0072588A"/>
    <w:rsid w:val="00725C70"/>
    <w:rsid w:val="007269AA"/>
    <w:rsid w:val="00731722"/>
    <w:rsid w:val="007319E3"/>
    <w:rsid w:val="00732858"/>
    <w:rsid w:val="00733F04"/>
    <w:rsid w:val="00735450"/>
    <w:rsid w:val="0073580E"/>
    <w:rsid w:val="0073731D"/>
    <w:rsid w:val="007376EB"/>
    <w:rsid w:val="00740927"/>
    <w:rsid w:val="00740A42"/>
    <w:rsid w:val="0074244F"/>
    <w:rsid w:val="00742DA5"/>
    <w:rsid w:val="00743038"/>
    <w:rsid w:val="00743D30"/>
    <w:rsid w:val="007442A7"/>
    <w:rsid w:val="00744CDC"/>
    <w:rsid w:val="00744D8B"/>
    <w:rsid w:val="00745D76"/>
    <w:rsid w:val="00747110"/>
    <w:rsid w:val="00747359"/>
    <w:rsid w:val="00747872"/>
    <w:rsid w:val="00750822"/>
    <w:rsid w:val="00751A0C"/>
    <w:rsid w:val="007542BE"/>
    <w:rsid w:val="0075472B"/>
    <w:rsid w:val="00754AA1"/>
    <w:rsid w:val="007567EF"/>
    <w:rsid w:val="007572D5"/>
    <w:rsid w:val="007610A3"/>
    <w:rsid w:val="0076419B"/>
    <w:rsid w:val="0076506E"/>
    <w:rsid w:val="00767174"/>
    <w:rsid w:val="00770105"/>
    <w:rsid w:val="007724F0"/>
    <w:rsid w:val="00772ABA"/>
    <w:rsid w:val="00775F5B"/>
    <w:rsid w:val="007762F1"/>
    <w:rsid w:val="00777656"/>
    <w:rsid w:val="007803B4"/>
    <w:rsid w:val="00780624"/>
    <w:rsid w:val="00780D6A"/>
    <w:rsid w:val="0078288C"/>
    <w:rsid w:val="007836A8"/>
    <w:rsid w:val="0078373D"/>
    <w:rsid w:val="00784B6D"/>
    <w:rsid w:val="00786D0A"/>
    <w:rsid w:val="00787760"/>
    <w:rsid w:val="00787791"/>
    <w:rsid w:val="00790099"/>
    <w:rsid w:val="00790CEC"/>
    <w:rsid w:val="007A0644"/>
    <w:rsid w:val="007A1D7F"/>
    <w:rsid w:val="007A2CE2"/>
    <w:rsid w:val="007B19F5"/>
    <w:rsid w:val="007B229D"/>
    <w:rsid w:val="007B2AB5"/>
    <w:rsid w:val="007B2CA3"/>
    <w:rsid w:val="007B5E36"/>
    <w:rsid w:val="007C3496"/>
    <w:rsid w:val="007C7031"/>
    <w:rsid w:val="007D3ACC"/>
    <w:rsid w:val="007E166A"/>
    <w:rsid w:val="007E2BBE"/>
    <w:rsid w:val="007E7C4E"/>
    <w:rsid w:val="007F0D50"/>
    <w:rsid w:val="007F0E5B"/>
    <w:rsid w:val="007F2332"/>
    <w:rsid w:val="007F388D"/>
    <w:rsid w:val="007F4C72"/>
    <w:rsid w:val="007F54C0"/>
    <w:rsid w:val="007F695B"/>
    <w:rsid w:val="0080132A"/>
    <w:rsid w:val="00801456"/>
    <w:rsid w:val="008020B7"/>
    <w:rsid w:val="00804C3C"/>
    <w:rsid w:val="00805325"/>
    <w:rsid w:val="00810F81"/>
    <w:rsid w:val="00811542"/>
    <w:rsid w:val="00811E53"/>
    <w:rsid w:val="008127C8"/>
    <w:rsid w:val="00815AB1"/>
    <w:rsid w:val="00820D13"/>
    <w:rsid w:val="00820E0D"/>
    <w:rsid w:val="008212BC"/>
    <w:rsid w:val="008228DE"/>
    <w:rsid w:val="008237DE"/>
    <w:rsid w:val="00825ABD"/>
    <w:rsid w:val="008269DF"/>
    <w:rsid w:val="00827001"/>
    <w:rsid w:val="00831720"/>
    <w:rsid w:val="0083232E"/>
    <w:rsid w:val="00832AE7"/>
    <w:rsid w:val="00832ECF"/>
    <w:rsid w:val="00833521"/>
    <w:rsid w:val="00834C50"/>
    <w:rsid w:val="00836B80"/>
    <w:rsid w:val="00837A92"/>
    <w:rsid w:val="00842760"/>
    <w:rsid w:val="00843A59"/>
    <w:rsid w:val="0084775A"/>
    <w:rsid w:val="0085042C"/>
    <w:rsid w:val="00851307"/>
    <w:rsid w:val="00852648"/>
    <w:rsid w:val="00852F01"/>
    <w:rsid w:val="0085417D"/>
    <w:rsid w:val="00855715"/>
    <w:rsid w:val="00856501"/>
    <w:rsid w:val="00857D93"/>
    <w:rsid w:val="00860065"/>
    <w:rsid w:val="008606FA"/>
    <w:rsid w:val="00861179"/>
    <w:rsid w:val="00862B68"/>
    <w:rsid w:val="00863133"/>
    <w:rsid w:val="0086324F"/>
    <w:rsid w:val="008635EA"/>
    <w:rsid w:val="00864BD8"/>
    <w:rsid w:val="00865936"/>
    <w:rsid w:val="00865B11"/>
    <w:rsid w:val="00865B51"/>
    <w:rsid w:val="0086683F"/>
    <w:rsid w:val="00870FF2"/>
    <w:rsid w:val="00871639"/>
    <w:rsid w:val="0087174F"/>
    <w:rsid w:val="0087215F"/>
    <w:rsid w:val="0087367C"/>
    <w:rsid w:val="008751DC"/>
    <w:rsid w:val="0087537F"/>
    <w:rsid w:val="008764B8"/>
    <w:rsid w:val="0087667E"/>
    <w:rsid w:val="00876A96"/>
    <w:rsid w:val="00877DAE"/>
    <w:rsid w:val="0088091A"/>
    <w:rsid w:val="00882BAC"/>
    <w:rsid w:val="00884EA0"/>
    <w:rsid w:val="00891CFE"/>
    <w:rsid w:val="00892B24"/>
    <w:rsid w:val="00895AF1"/>
    <w:rsid w:val="008970DB"/>
    <w:rsid w:val="008A2A29"/>
    <w:rsid w:val="008A2DC6"/>
    <w:rsid w:val="008A403F"/>
    <w:rsid w:val="008A5EC6"/>
    <w:rsid w:val="008A6404"/>
    <w:rsid w:val="008A6D0F"/>
    <w:rsid w:val="008B0CF1"/>
    <w:rsid w:val="008B16A6"/>
    <w:rsid w:val="008B209C"/>
    <w:rsid w:val="008B7FBC"/>
    <w:rsid w:val="008C2826"/>
    <w:rsid w:val="008C2EE9"/>
    <w:rsid w:val="008C3C92"/>
    <w:rsid w:val="008C4015"/>
    <w:rsid w:val="008C4221"/>
    <w:rsid w:val="008C475B"/>
    <w:rsid w:val="008C4D71"/>
    <w:rsid w:val="008D439F"/>
    <w:rsid w:val="008D57DB"/>
    <w:rsid w:val="008D5E1E"/>
    <w:rsid w:val="008D656A"/>
    <w:rsid w:val="008D672E"/>
    <w:rsid w:val="008E63C3"/>
    <w:rsid w:val="008E6CAD"/>
    <w:rsid w:val="008E7843"/>
    <w:rsid w:val="008F02FA"/>
    <w:rsid w:val="008F2428"/>
    <w:rsid w:val="008F2708"/>
    <w:rsid w:val="008F2756"/>
    <w:rsid w:val="00901556"/>
    <w:rsid w:val="0090162F"/>
    <w:rsid w:val="0090271E"/>
    <w:rsid w:val="00906F54"/>
    <w:rsid w:val="00907869"/>
    <w:rsid w:val="00912E4C"/>
    <w:rsid w:val="00914E62"/>
    <w:rsid w:val="00920A7D"/>
    <w:rsid w:val="00920BF6"/>
    <w:rsid w:val="009210E8"/>
    <w:rsid w:val="009214CB"/>
    <w:rsid w:val="00921842"/>
    <w:rsid w:val="00922E21"/>
    <w:rsid w:val="00923AF9"/>
    <w:rsid w:val="0092624C"/>
    <w:rsid w:val="00930F34"/>
    <w:rsid w:val="00931962"/>
    <w:rsid w:val="00932541"/>
    <w:rsid w:val="00932DB8"/>
    <w:rsid w:val="00932FBB"/>
    <w:rsid w:val="00934B7A"/>
    <w:rsid w:val="00934EF4"/>
    <w:rsid w:val="009371E7"/>
    <w:rsid w:val="009376AB"/>
    <w:rsid w:val="00941318"/>
    <w:rsid w:val="009426E9"/>
    <w:rsid w:val="00945011"/>
    <w:rsid w:val="009461D5"/>
    <w:rsid w:val="0095069D"/>
    <w:rsid w:val="00950C3B"/>
    <w:rsid w:val="00951497"/>
    <w:rsid w:val="00951CBC"/>
    <w:rsid w:val="00951ED9"/>
    <w:rsid w:val="00953136"/>
    <w:rsid w:val="00954A80"/>
    <w:rsid w:val="0095684D"/>
    <w:rsid w:val="009607AD"/>
    <w:rsid w:val="009628FE"/>
    <w:rsid w:val="00962CC3"/>
    <w:rsid w:val="00963158"/>
    <w:rsid w:val="00964549"/>
    <w:rsid w:val="00965CF5"/>
    <w:rsid w:val="009662A4"/>
    <w:rsid w:val="00966CCF"/>
    <w:rsid w:val="0097086C"/>
    <w:rsid w:val="00971AD4"/>
    <w:rsid w:val="00971C4A"/>
    <w:rsid w:val="00972122"/>
    <w:rsid w:val="00972BAA"/>
    <w:rsid w:val="00974EE8"/>
    <w:rsid w:val="0097699D"/>
    <w:rsid w:val="00980056"/>
    <w:rsid w:val="00980306"/>
    <w:rsid w:val="00982BD5"/>
    <w:rsid w:val="00986B09"/>
    <w:rsid w:val="009873A0"/>
    <w:rsid w:val="009902B5"/>
    <w:rsid w:val="00991506"/>
    <w:rsid w:val="00992016"/>
    <w:rsid w:val="00992412"/>
    <w:rsid w:val="00992D13"/>
    <w:rsid w:val="00993E64"/>
    <w:rsid w:val="00995785"/>
    <w:rsid w:val="009A14CA"/>
    <w:rsid w:val="009A273F"/>
    <w:rsid w:val="009A355E"/>
    <w:rsid w:val="009A3A8E"/>
    <w:rsid w:val="009A5A99"/>
    <w:rsid w:val="009A5C80"/>
    <w:rsid w:val="009A75E3"/>
    <w:rsid w:val="009A7C8B"/>
    <w:rsid w:val="009B09FF"/>
    <w:rsid w:val="009B22C8"/>
    <w:rsid w:val="009B5CCB"/>
    <w:rsid w:val="009B77F4"/>
    <w:rsid w:val="009C0E05"/>
    <w:rsid w:val="009C1160"/>
    <w:rsid w:val="009C15DE"/>
    <w:rsid w:val="009C2058"/>
    <w:rsid w:val="009C34D3"/>
    <w:rsid w:val="009C35B7"/>
    <w:rsid w:val="009C3E88"/>
    <w:rsid w:val="009C5C05"/>
    <w:rsid w:val="009C6CB5"/>
    <w:rsid w:val="009D242D"/>
    <w:rsid w:val="009D3B97"/>
    <w:rsid w:val="009D40AC"/>
    <w:rsid w:val="009D424F"/>
    <w:rsid w:val="009D451A"/>
    <w:rsid w:val="009D50DE"/>
    <w:rsid w:val="009D6AA2"/>
    <w:rsid w:val="009D7530"/>
    <w:rsid w:val="009D7C93"/>
    <w:rsid w:val="009E1B9B"/>
    <w:rsid w:val="009E24F4"/>
    <w:rsid w:val="009E2D12"/>
    <w:rsid w:val="009E2F9A"/>
    <w:rsid w:val="009E3DCA"/>
    <w:rsid w:val="009E50D3"/>
    <w:rsid w:val="009E69D5"/>
    <w:rsid w:val="009E70E1"/>
    <w:rsid w:val="009E72EC"/>
    <w:rsid w:val="009F118B"/>
    <w:rsid w:val="009F1322"/>
    <w:rsid w:val="009F1BF3"/>
    <w:rsid w:val="009F2720"/>
    <w:rsid w:val="009F76E6"/>
    <w:rsid w:val="009F7743"/>
    <w:rsid w:val="00A00B5A"/>
    <w:rsid w:val="00A021DD"/>
    <w:rsid w:val="00A026B5"/>
    <w:rsid w:val="00A0393A"/>
    <w:rsid w:val="00A0416B"/>
    <w:rsid w:val="00A06135"/>
    <w:rsid w:val="00A067FB"/>
    <w:rsid w:val="00A06DDF"/>
    <w:rsid w:val="00A101B2"/>
    <w:rsid w:val="00A10C8F"/>
    <w:rsid w:val="00A13225"/>
    <w:rsid w:val="00A13AF7"/>
    <w:rsid w:val="00A1437A"/>
    <w:rsid w:val="00A14D17"/>
    <w:rsid w:val="00A15166"/>
    <w:rsid w:val="00A166E8"/>
    <w:rsid w:val="00A16E86"/>
    <w:rsid w:val="00A17451"/>
    <w:rsid w:val="00A226A1"/>
    <w:rsid w:val="00A22EF9"/>
    <w:rsid w:val="00A2546D"/>
    <w:rsid w:val="00A25CC0"/>
    <w:rsid w:val="00A25D46"/>
    <w:rsid w:val="00A271D6"/>
    <w:rsid w:val="00A272A6"/>
    <w:rsid w:val="00A31566"/>
    <w:rsid w:val="00A32231"/>
    <w:rsid w:val="00A360BC"/>
    <w:rsid w:val="00A36E7A"/>
    <w:rsid w:val="00A37551"/>
    <w:rsid w:val="00A42BA6"/>
    <w:rsid w:val="00A44A7E"/>
    <w:rsid w:val="00A44F8B"/>
    <w:rsid w:val="00A46D9B"/>
    <w:rsid w:val="00A46F24"/>
    <w:rsid w:val="00A4716A"/>
    <w:rsid w:val="00A47BD1"/>
    <w:rsid w:val="00A47E1B"/>
    <w:rsid w:val="00A52465"/>
    <w:rsid w:val="00A54A16"/>
    <w:rsid w:val="00A54BBA"/>
    <w:rsid w:val="00A55393"/>
    <w:rsid w:val="00A575F1"/>
    <w:rsid w:val="00A61FC7"/>
    <w:rsid w:val="00A66CF3"/>
    <w:rsid w:val="00A7243F"/>
    <w:rsid w:val="00A72815"/>
    <w:rsid w:val="00A73816"/>
    <w:rsid w:val="00A7554E"/>
    <w:rsid w:val="00A77373"/>
    <w:rsid w:val="00A81D47"/>
    <w:rsid w:val="00A81E93"/>
    <w:rsid w:val="00A82DD1"/>
    <w:rsid w:val="00A83FD7"/>
    <w:rsid w:val="00A84C97"/>
    <w:rsid w:val="00A85DBF"/>
    <w:rsid w:val="00A86933"/>
    <w:rsid w:val="00A901F5"/>
    <w:rsid w:val="00A918B7"/>
    <w:rsid w:val="00A92773"/>
    <w:rsid w:val="00A92853"/>
    <w:rsid w:val="00A97BB0"/>
    <w:rsid w:val="00AA0020"/>
    <w:rsid w:val="00AA0DAF"/>
    <w:rsid w:val="00AA180C"/>
    <w:rsid w:val="00AA1ADF"/>
    <w:rsid w:val="00AA1C06"/>
    <w:rsid w:val="00AA1CD3"/>
    <w:rsid w:val="00AA47CC"/>
    <w:rsid w:val="00AA4969"/>
    <w:rsid w:val="00AA5DC3"/>
    <w:rsid w:val="00AA689C"/>
    <w:rsid w:val="00AB089A"/>
    <w:rsid w:val="00AB236A"/>
    <w:rsid w:val="00AB23B0"/>
    <w:rsid w:val="00AB57D6"/>
    <w:rsid w:val="00AB68D7"/>
    <w:rsid w:val="00AB6E69"/>
    <w:rsid w:val="00AB7B38"/>
    <w:rsid w:val="00AC2B81"/>
    <w:rsid w:val="00AC3B61"/>
    <w:rsid w:val="00AC5C10"/>
    <w:rsid w:val="00AC5D74"/>
    <w:rsid w:val="00AC6520"/>
    <w:rsid w:val="00AC7FF9"/>
    <w:rsid w:val="00AD0550"/>
    <w:rsid w:val="00AD29FC"/>
    <w:rsid w:val="00AD2E10"/>
    <w:rsid w:val="00AD2F08"/>
    <w:rsid w:val="00AD398D"/>
    <w:rsid w:val="00AD45E0"/>
    <w:rsid w:val="00AD63F2"/>
    <w:rsid w:val="00AD6414"/>
    <w:rsid w:val="00AD648E"/>
    <w:rsid w:val="00AD6571"/>
    <w:rsid w:val="00AE0456"/>
    <w:rsid w:val="00AE0E9A"/>
    <w:rsid w:val="00AE1A3F"/>
    <w:rsid w:val="00AE5CE0"/>
    <w:rsid w:val="00AF0010"/>
    <w:rsid w:val="00AF056B"/>
    <w:rsid w:val="00AF0DBF"/>
    <w:rsid w:val="00AF1A34"/>
    <w:rsid w:val="00AF2DDB"/>
    <w:rsid w:val="00AF3626"/>
    <w:rsid w:val="00AF4130"/>
    <w:rsid w:val="00AF4EE9"/>
    <w:rsid w:val="00AF79A3"/>
    <w:rsid w:val="00B00ED1"/>
    <w:rsid w:val="00B01617"/>
    <w:rsid w:val="00B01E65"/>
    <w:rsid w:val="00B02EB2"/>
    <w:rsid w:val="00B03E2A"/>
    <w:rsid w:val="00B052EB"/>
    <w:rsid w:val="00B11478"/>
    <w:rsid w:val="00B11956"/>
    <w:rsid w:val="00B12762"/>
    <w:rsid w:val="00B15270"/>
    <w:rsid w:val="00B154F6"/>
    <w:rsid w:val="00B21E6F"/>
    <w:rsid w:val="00B23D81"/>
    <w:rsid w:val="00B2407D"/>
    <w:rsid w:val="00B242D8"/>
    <w:rsid w:val="00B24F41"/>
    <w:rsid w:val="00B25035"/>
    <w:rsid w:val="00B25440"/>
    <w:rsid w:val="00B27192"/>
    <w:rsid w:val="00B274EB"/>
    <w:rsid w:val="00B30BEC"/>
    <w:rsid w:val="00B330A8"/>
    <w:rsid w:val="00B34052"/>
    <w:rsid w:val="00B351A8"/>
    <w:rsid w:val="00B35256"/>
    <w:rsid w:val="00B35CE2"/>
    <w:rsid w:val="00B416A2"/>
    <w:rsid w:val="00B42DA3"/>
    <w:rsid w:val="00B4514E"/>
    <w:rsid w:val="00B4559C"/>
    <w:rsid w:val="00B45BBF"/>
    <w:rsid w:val="00B46772"/>
    <w:rsid w:val="00B52D5F"/>
    <w:rsid w:val="00B5378D"/>
    <w:rsid w:val="00B56AD1"/>
    <w:rsid w:val="00B62282"/>
    <w:rsid w:val="00B622E8"/>
    <w:rsid w:val="00B62C7F"/>
    <w:rsid w:val="00B63646"/>
    <w:rsid w:val="00B63A53"/>
    <w:rsid w:val="00B6537C"/>
    <w:rsid w:val="00B66AAC"/>
    <w:rsid w:val="00B66D0D"/>
    <w:rsid w:val="00B66F45"/>
    <w:rsid w:val="00B67362"/>
    <w:rsid w:val="00B67982"/>
    <w:rsid w:val="00B729C8"/>
    <w:rsid w:val="00B73DD5"/>
    <w:rsid w:val="00B75AF5"/>
    <w:rsid w:val="00B82925"/>
    <w:rsid w:val="00B9391A"/>
    <w:rsid w:val="00B94242"/>
    <w:rsid w:val="00B9702A"/>
    <w:rsid w:val="00B970FF"/>
    <w:rsid w:val="00BA07C6"/>
    <w:rsid w:val="00BA0A81"/>
    <w:rsid w:val="00BA2533"/>
    <w:rsid w:val="00BA2ED8"/>
    <w:rsid w:val="00BA301A"/>
    <w:rsid w:val="00BA3AFF"/>
    <w:rsid w:val="00BA4E78"/>
    <w:rsid w:val="00BA6058"/>
    <w:rsid w:val="00BA7883"/>
    <w:rsid w:val="00BA7C20"/>
    <w:rsid w:val="00BB61C1"/>
    <w:rsid w:val="00BC03AB"/>
    <w:rsid w:val="00BC2A99"/>
    <w:rsid w:val="00BC46EE"/>
    <w:rsid w:val="00BC4C83"/>
    <w:rsid w:val="00BC5CE7"/>
    <w:rsid w:val="00BC6B25"/>
    <w:rsid w:val="00BD0433"/>
    <w:rsid w:val="00BD1008"/>
    <w:rsid w:val="00BD1ACD"/>
    <w:rsid w:val="00BD439C"/>
    <w:rsid w:val="00BD546D"/>
    <w:rsid w:val="00BD6392"/>
    <w:rsid w:val="00BD7916"/>
    <w:rsid w:val="00BE3472"/>
    <w:rsid w:val="00BE4A44"/>
    <w:rsid w:val="00BE4BD5"/>
    <w:rsid w:val="00BE5CF1"/>
    <w:rsid w:val="00BE7847"/>
    <w:rsid w:val="00BF10F4"/>
    <w:rsid w:val="00BF273D"/>
    <w:rsid w:val="00BF3970"/>
    <w:rsid w:val="00BF3C63"/>
    <w:rsid w:val="00BF6CEE"/>
    <w:rsid w:val="00C0066B"/>
    <w:rsid w:val="00C00DB7"/>
    <w:rsid w:val="00C01717"/>
    <w:rsid w:val="00C02FF8"/>
    <w:rsid w:val="00C063C6"/>
    <w:rsid w:val="00C070D4"/>
    <w:rsid w:val="00C074A7"/>
    <w:rsid w:val="00C07ADA"/>
    <w:rsid w:val="00C07D8A"/>
    <w:rsid w:val="00C100A6"/>
    <w:rsid w:val="00C1070A"/>
    <w:rsid w:val="00C11211"/>
    <w:rsid w:val="00C12670"/>
    <w:rsid w:val="00C153E4"/>
    <w:rsid w:val="00C159A4"/>
    <w:rsid w:val="00C16B11"/>
    <w:rsid w:val="00C2055D"/>
    <w:rsid w:val="00C21947"/>
    <w:rsid w:val="00C2332E"/>
    <w:rsid w:val="00C24DE4"/>
    <w:rsid w:val="00C25232"/>
    <w:rsid w:val="00C27996"/>
    <w:rsid w:val="00C30175"/>
    <w:rsid w:val="00C31A38"/>
    <w:rsid w:val="00C33DF6"/>
    <w:rsid w:val="00C342BB"/>
    <w:rsid w:val="00C34A75"/>
    <w:rsid w:val="00C375C5"/>
    <w:rsid w:val="00C401D3"/>
    <w:rsid w:val="00C41B21"/>
    <w:rsid w:val="00C4353A"/>
    <w:rsid w:val="00C515B2"/>
    <w:rsid w:val="00C51C95"/>
    <w:rsid w:val="00C51CC2"/>
    <w:rsid w:val="00C52D3C"/>
    <w:rsid w:val="00C540FC"/>
    <w:rsid w:val="00C54443"/>
    <w:rsid w:val="00C548E7"/>
    <w:rsid w:val="00C554B7"/>
    <w:rsid w:val="00C55752"/>
    <w:rsid w:val="00C55F64"/>
    <w:rsid w:val="00C568E9"/>
    <w:rsid w:val="00C60267"/>
    <w:rsid w:val="00C60EE8"/>
    <w:rsid w:val="00C61A73"/>
    <w:rsid w:val="00C65F1E"/>
    <w:rsid w:val="00C675B3"/>
    <w:rsid w:val="00C716C3"/>
    <w:rsid w:val="00C71E27"/>
    <w:rsid w:val="00C73DC9"/>
    <w:rsid w:val="00C744D7"/>
    <w:rsid w:val="00C74F6C"/>
    <w:rsid w:val="00C76AFD"/>
    <w:rsid w:val="00C80234"/>
    <w:rsid w:val="00C81201"/>
    <w:rsid w:val="00C81A08"/>
    <w:rsid w:val="00C82501"/>
    <w:rsid w:val="00C8419A"/>
    <w:rsid w:val="00C8535B"/>
    <w:rsid w:val="00C86278"/>
    <w:rsid w:val="00C86EAB"/>
    <w:rsid w:val="00C90A30"/>
    <w:rsid w:val="00C924C5"/>
    <w:rsid w:val="00C92A74"/>
    <w:rsid w:val="00C945D6"/>
    <w:rsid w:val="00C94A63"/>
    <w:rsid w:val="00C95FD7"/>
    <w:rsid w:val="00CA1A8C"/>
    <w:rsid w:val="00CA3186"/>
    <w:rsid w:val="00CA5F9E"/>
    <w:rsid w:val="00CA6A72"/>
    <w:rsid w:val="00CA6CBA"/>
    <w:rsid w:val="00CA75FC"/>
    <w:rsid w:val="00CB0196"/>
    <w:rsid w:val="00CB0B32"/>
    <w:rsid w:val="00CB1831"/>
    <w:rsid w:val="00CB6192"/>
    <w:rsid w:val="00CC0D63"/>
    <w:rsid w:val="00CC150D"/>
    <w:rsid w:val="00CC163E"/>
    <w:rsid w:val="00CC24C3"/>
    <w:rsid w:val="00CC35CA"/>
    <w:rsid w:val="00CC3D67"/>
    <w:rsid w:val="00CC4D99"/>
    <w:rsid w:val="00CC6465"/>
    <w:rsid w:val="00CD0C90"/>
    <w:rsid w:val="00CD0E29"/>
    <w:rsid w:val="00CD141E"/>
    <w:rsid w:val="00CD2EC8"/>
    <w:rsid w:val="00CD3028"/>
    <w:rsid w:val="00CD53C3"/>
    <w:rsid w:val="00CD7EE0"/>
    <w:rsid w:val="00CE0398"/>
    <w:rsid w:val="00CE1B64"/>
    <w:rsid w:val="00CE21AE"/>
    <w:rsid w:val="00CE24B3"/>
    <w:rsid w:val="00CE34FF"/>
    <w:rsid w:val="00CE4199"/>
    <w:rsid w:val="00CE5AEB"/>
    <w:rsid w:val="00CE61A9"/>
    <w:rsid w:val="00CE79C7"/>
    <w:rsid w:val="00CE7E21"/>
    <w:rsid w:val="00CF0DF4"/>
    <w:rsid w:val="00CF16F9"/>
    <w:rsid w:val="00CF17D5"/>
    <w:rsid w:val="00CF1FAA"/>
    <w:rsid w:val="00CF2651"/>
    <w:rsid w:val="00D02B09"/>
    <w:rsid w:val="00D046A8"/>
    <w:rsid w:val="00D04BB5"/>
    <w:rsid w:val="00D05A78"/>
    <w:rsid w:val="00D07169"/>
    <w:rsid w:val="00D11296"/>
    <w:rsid w:val="00D113D3"/>
    <w:rsid w:val="00D154DF"/>
    <w:rsid w:val="00D155BC"/>
    <w:rsid w:val="00D1640E"/>
    <w:rsid w:val="00D2061A"/>
    <w:rsid w:val="00D209DD"/>
    <w:rsid w:val="00D246C2"/>
    <w:rsid w:val="00D249D6"/>
    <w:rsid w:val="00D24A35"/>
    <w:rsid w:val="00D27F4A"/>
    <w:rsid w:val="00D27FA5"/>
    <w:rsid w:val="00D304DF"/>
    <w:rsid w:val="00D30878"/>
    <w:rsid w:val="00D31282"/>
    <w:rsid w:val="00D312F2"/>
    <w:rsid w:val="00D3133D"/>
    <w:rsid w:val="00D31C0C"/>
    <w:rsid w:val="00D3219E"/>
    <w:rsid w:val="00D34AB0"/>
    <w:rsid w:val="00D449DC"/>
    <w:rsid w:val="00D4500F"/>
    <w:rsid w:val="00D4516D"/>
    <w:rsid w:val="00D45721"/>
    <w:rsid w:val="00D46A84"/>
    <w:rsid w:val="00D46C28"/>
    <w:rsid w:val="00D47052"/>
    <w:rsid w:val="00D474D0"/>
    <w:rsid w:val="00D47E27"/>
    <w:rsid w:val="00D51705"/>
    <w:rsid w:val="00D52541"/>
    <w:rsid w:val="00D52904"/>
    <w:rsid w:val="00D53915"/>
    <w:rsid w:val="00D60CFC"/>
    <w:rsid w:val="00D61B14"/>
    <w:rsid w:val="00D63C1C"/>
    <w:rsid w:val="00D6500F"/>
    <w:rsid w:val="00D70317"/>
    <w:rsid w:val="00D7114F"/>
    <w:rsid w:val="00D72488"/>
    <w:rsid w:val="00D75E7D"/>
    <w:rsid w:val="00D8046B"/>
    <w:rsid w:val="00D80F91"/>
    <w:rsid w:val="00D81A3A"/>
    <w:rsid w:val="00D8227B"/>
    <w:rsid w:val="00D87637"/>
    <w:rsid w:val="00D87C9F"/>
    <w:rsid w:val="00D90DFD"/>
    <w:rsid w:val="00D91442"/>
    <w:rsid w:val="00D9183A"/>
    <w:rsid w:val="00D92194"/>
    <w:rsid w:val="00D9553B"/>
    <w:rsid w:val="00D95E13"/>
    <w:rsid w:val="00D9639A"/>
    <w:rsid w:val="00D9658C"/>
    <w:rsid w:val="00D96B08"/>
    <w:rsid w:val="00DA096F"/>
    <w:rsid w:val="00DA12E7"/>
    <w:rsid w:val="00DA1F2C"/>
    <w:rsid w:val="00DA30B4"/>
    <w:rsid w:val="00DA40EB"/>
    <w:rsid w:val="00DA42AE"/>
    <w:rsid w:val="00DA71B0"/>
    <w:rsid w:val="00DB221C"/>
    <w:rsid w:val="00DB33A2"/>
    <w:rsid w:val="00DB3533"/>
    <w:rsid w:val="00DB411D"/>
    <w:rsid w:val="00DB46BD"/>
    <w:rsid w:val="00DB4DC4"/>
    <w:rsid w:val="00DB7670"/>
    <w:rsid w:val="00DC1CAB"/>
    <w:rsid w:val="00DC25DC"/>
    <w:rsid w:val="00DC5714"/>
    <w:rsid w:val="00DC5DC0"/>
    <w:rsid w:val="00DD0547"/>
    <w:rsid w:val="00DD08E9"/>
    <w:rsid w:val="00DD1261"/>
    <w:rsid w:val="00DD2363"/>
    <w:rsid w:val="00DD3A07"/>
    <w:rsid w:val="00DD436D"/>
    <w:rsid w:val="00DD6C56"/>
    <w:rsid w:val="00DD6D1A"/>
    <w:rsid w:val="00DD77FB"/>
    <w:rsid w:val="00DE0953"/>
    <w:rsid w:val="00DE3381"/>
    <w:rsid w:val="00DE40F8"/>
    <w:rsid w:val="00DE5150"/>
    <w:rsid w:val="00DE5CBD"/>
    <w:rsid w:val="00DE5EF0"/>
    <w:rsid w:val="00DE5FF7"/>
    <w:rsid w:val="00DF0AAB"/>
    <w:rsid w:val="00DF29F1"/>
    <w:rsid w:val="00DF4894"/>
    <w:rsid w:val="00DF5855"/>
    <w:rsid w:val="00DF5DC0"/>
    <w:rsid w:val="00DF771F"/>
    <w:rsid w:val="00E00848"/>
    <w:rsid w:val="00E03A4E"/>
    <w:rsid w:val="00E04012"/>
    <w:rsid w:val="00E12259"/>
    <w:rsid w:val="00E139D0"/>
    <w:rsid w:val="00E17610"/>
    <w:rsid w:val="00E2046C"/>
    <w:rsid w:val="00E218E4"/>
    <w:rsid w:val="00E21E14"/>
    <w:rsid w:val="00E2232F"/>
    <w:rsid w:val="00E23CDD"/>
    <w:rsid w:val="00E23D28"/>
    <w:rsid w:val="00E23E8D"/>
    <w:rsid w:val="00E2440A"/>
    <w:rsid w:val="00E2497F"/>
    <w:rsid w:val="00E2588D"/>
    <w:rsid w:val="00E26598"/>
    <w:rsid w:val="00E30271"/>
    <w:rsid w:val="00E3096D"/>
    <w:rsid w:val="00E30A0C"/>
    <w:rsid w:val="00E30F89"/>
    <w:rsid w:val="00E31A59"/>
    <w:rsid w:val="00E31F69"/>
    <w:rsid w:val="00E33588"/>
    <w:rsid w:val="00E3414C"/>
    <w:rsid w:val="00E34D17"/>
    <w:rsid w:val="00E35797"/>
    <w:rsid w:val="00E35884"/>
    <w:rsid w:val="00E365CF"/>
    <w:rsid w:val="00E371BB"/>
    <w:rsid w:val="00E40C54"/>
    <w:rsid w:val="00E435AC"/>
    <w:rsid w:val="00E44E38"/>
    <w:rsid w:val="00E4607A"/>
    <w:rsid w:val="00E460EC"/>
    <w:rsid w:val="00E46654"/>
    <w:rsid w:val="00E47768"/>
    <w:rsid w:val="00E5040B"/>
    <w:rsid w:val="00E504BB"/>
    <w:rsid w:val="00E52878"/>
    <w:rsid w:val="00E6224E"/>
    <w:rsid w:val="00E63EC9"/>
    <w:rsid w:val="00E64B16"/>
    <w:rsid w:val="00E66164"/>
    <w:rsid w:val="00E66CB4"/>
    <w:rsid w:val="00E66E13"/>
    <w:rsid w:val="00E70CC5"/>
    <w:rsid w:val="00E70DD1"/>
    <w:rsid w:val="00E71423"/>
    <w:rsid w:val="00E71628"/>
    <w:rsid w:val="00E749FC"/>
    <w:rsid w:val="00E852D2"/>
    <w:rsid w:val="00E861C7"/>
    <w:rsid w:val="00E876CB"/>
    <w:rsid w:val="00E90BF1"/>
    <w:rsid w:val="00E910BA"/>
    <w:rsid w:val="00E932F8"/>
    <w:rsid w:val="00E94609"/>
    <w:rsid w:val="00E94CA4"/>
    <w:rsid w:val="00EA0D57"/>
    <w:rsid w:val="00EA4372"/>
    <w:rsid w:val="00EA46BD"/>
    <w:rsid w:val="00EA5235"/>
    <w:rsid w:val="00EA7171"/>
    <w:rsid w:val="00EB1CDC"/>
    <w:rsid w:val="00EB2591"/>
    <w:rsid w:val="00EB382C"/>
    <w:rsid w:val="00EB7043"/>
    <w:rsid w:val="00EC2C1F"/>
    <w:rsid w:val="00EC48BB"/>
    <w:rsid w:val="00EC542F"/>
    <w:rsid w:val="00ED1AD3"/>
    <w:rsid w:val="00ED296A"/>
    <w:rsid w:val="00ED5173"/>
    <w:rsid w:val="00ED68FF"/>
    <w:rsid w:val="00ED78ED"/>
    <w:rsid w:val="00EE1727"/>
    <w:rsid w:val="00EE31B8"/>
    <w:rsid w:val="00EE3AB5"/>
    <w:rsid w:val="00EE5FC0"/>
    <w:rsid w:val="00EF246C"/>
    <w:rsid w:val="00EF3614"/>
    <w:rsid w:val="00EF40D5"/>
    <w:rsid w:val="00EF52EE"/>
    <w:rsid w:val="00EF5786"/>
    <w:rsid w:val="00EF69FD"/>
    <w:rsid w:val="00EF7386"/>
    <w:rsid w:val="00EF748B"/>
    <w:rsid w:val="00F000D2"/>
    <w:rsid w:val="00F01991"/>
    <w:rsid w:val="00F01F05"/>
    <w:rsid w:val="00F05585"/>
    <w:rsid w:val="00F076DB"/>
    <w:rsid w:val="00F10B84"/>
    <w:rsid w:val="00F112E8"/>
    <w:rsid w:val="00F11C51"/>
    <w:rsid w:val="00F126CE"/>
    <w:rsid w:val="00F12E58"/>
    <w:rsid w:val="00F13365"/>
    <w:rsid w:val="00F1700F"/>
    <w:rsid w:val="00F217A3"/>
    <w:rsid w:val="00F21835"/>
    <w:rsid w:val="00F2240D"/>
    <w:rsid w:val="00F227AB"/>
    <w:rsid w:val="00F2354B"/>
    <w:rsid w:val="00F24726"/>
    <w:rsid w:val="00F2483B"/>
    <w:rsid w:val="00F2578D"/>
    <w:rsid w:val="00F30CFF"/>
    <w:rsid w:val="00F32543"/>
    <w:rsid w:val="00F33A04"/>
    <w:rsid w:val="00F350CB"/>
    <w:rsid w:val="00F35A3B"/>
    <w:rsid w:val="00F42AFB"/>
    <w:rsid w:val="00F42BFD"/>
    <w:rsid w:val="00F449F6"/>
    <w:rsid w:val="00F4545D"/>
    <w:rsid w:val="00F45594"/>
    <w:rsid w:val="00F46196"/>
    <w:rsid w:val="00F5060E"/>
    <w:rsid w:val="00F52526"/>
    <w:rsid w:val="00F52D93"/>
    <w:rsid w:val="00F5399B"/>
    <w:rsid w:val="00F5448D"/>
    <w:rsid w:val="00F54B47"/>
    <w:rsid w:val="00F5552F"/>
    <w:rsid w:val="00F570E0"/>
    <w:rsid w:val="00F571FA"/>
    <w:rsid w:val="00F57C08"/>
    <w:rsid w:val="00F60276"/>
    <w:rsid w:val="00F6062D"/>
    <w:rsid w:val="00F60AB1"/>
    <w:rsid w:val="00F60B88"/>
    <w:rsid w:val="00F6112D"/>
    <w:rsid w:val="00F61352"/>
    <w:rsid w:val="00F6523E"/>
    <w:rsid w:val="00F65604"/>
    <w:rsid w:val="00F66D29"/>
    <w:rsid w:val="00F738FA"/>
    <w:rsid w:val="00F7749F"/>
    <w:rsid w:val="00F779C6"/>
    <w:rsid w:val="00F803B6"/>
    <w:rsid w:val="00F82938"/>
    <w:rsid w:val="00F82A9C"/>
    <w:rsid w:val="00F83B09"/>
    <w:rsid w:val="00F87936"/>
    <w:rsid w:val="00F87D52"/>
    <w:rsid w:val="00F90388"/>
    <w:rsid w:val="00F9054E"/>
    <w:rsid w:val="00F92030"/>
    <w:rsid w:val="00F926F1"/>
    <w:rsid w:val="00F94E1D"/>
    <w:rsid w:val="00F974D7"/>
    <w:rsid w:val="00FA0254"/>
    <w:rsid w:val="00FA1392"/>
    <w:rsid w:val="00FA1A3D"/>
    <w:rsid w:val="00FA257D"/>
    <w:rsid w:val="00FA64F4"/>
    <w:rsid w:val="00FB0CA9"/>
    <w:rsid w:val="00FB244F"/>
    <w:rsid w:val="00FB2A70"/>
    <w:rsid w:val="00FB4027"/>
    <w:rsid w:val="00FB6265"/>
    <w:rsid w:val="00FB666B"/>
    <w:rsid w:val="00FB753A"/>
    <w:rsid w:val="00FB7F2C"/>
    <w:rsid w:val="00FC0845"/>
    <w:rsid w:val="00FC1170"/>
    <w:rsid w:val="00FC20C1"/>
    <w:rsid w:val="00FC26A8"/>
    <w:rsid w:val="00FC26D6"/>
    <w:rsid w:val="00FC3821"/>
    <w:rsid w:val="00FC600B"/>
    <w:rsid w:val="00FC7265"/>
    <w:rsid w:val="00FD1EB7"/>
    <w:rsid w:val="00FD277E"/>
    <w:rsid w:val="00FD27FC"/>
    <w:rsid w:val="00FD2E59"/>
    <w:rsid w:val="00FD62E6"/>
    <w:rsid w:val="00FD68B2"/>
    <w:rsid w:val="00FE030E"/>
    <w:rsid w:val="00FE3523"/>
    <w:rsid w:val="00FE3BA8"/>
    <w:rsid w:val="00FE4BD2"/>
    <w:rsid w:val="00FE4C3F"/>
    <w:rsid w:val="00FE5429"/>
    <w:rsid w:val="00FE5843"/>
    <w:rsid w:val="00FF1430"/>
    <w:rsid w:val="00FF158D"/>
    <w:rsid w:val="00FF2152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2A9C0F"/>
  <w15:docId w15:val="{38113E42-CD1A-4274-BD79-970F96F0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4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4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1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351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5177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4476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344763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B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622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B4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83"/>
  </w:style>
  <w:style w:type="character" w:customStyle="1" w:styleId="fontstyle01">
    <w:name w:val="fontstyle01"/>
    <w:basedOn w:val="DefaultParagraphFont"/>
    <w:rsid w:val="00C063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63C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3C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063C6"/>
  </w:style>
  <w:style w:type="character" w:customStyle="1" w:styleId="Heading4Char">
    <w:name w:val="Heading 4 Char"/>
    <w:basedOn w:val="DefaultParagraphFont"/>
    <w:link w:val="Heading4"/>
    <w:uiPriority w:val="9"/>
    <w:rsid w:val="00FA64F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FontStyle62">
    <w:name w:val="Font Style62"/>
    <w:uiPriority w:val="99"/>
    <w:rsid w:val="00FA64F4"/>
    <w:rPr>
      <w:rFonts w:ascii="Times New Roman" w:hAnsi="Times New Roman" w:cs="Times New Roman"/>
      <w:sz w:val="20"/>
      <w:szCs w:val="20"/>
    </w:rPr>
  </w:style>
  <w:style w:type="paragraph" w:customStyle="1" w:styleId="Style4">
    <w:name w:val="Style4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551" w:lineRule="exact"/>
      <w:ind w:firstLine="725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FA64F4"/>
  </w:style>
  <w:style w:type="paragraph" w:customStyle="1" w:styleId="Style19">
    <w:name w:val="Style19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48">
    <w:name w:val="Font Style48"/>
    <w:uiPriority w:val="99"/>
    <w:rsid w:val="00FA64F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3">
    <w:name w:val="Style23"/>
    <w:basedOn w:val="Normal"/>
    <w:uiPriority w:val="99"/>
    <w:rsid w:val="00FA64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4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2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A026B5"/>
  </w:style>
  <w:style w:type="character" w:customStyle="1" w:styleId="jlqj4b">
    <w:name w:val="jlqj4b"/>
    <w:basedOn w:val="DefaultParagraphFont"/>
    <w:rsid w:val="00A026B5"/>
  </w:style>
  <w:style w:type="paragraph" w:styleId="BalloonText">
    <w:name w:val="Balloon Text"/>
    <w:basedOn w:val="Normal"/>
    <w:link w:val="BalloonTextChar"/>
    <w:uiPriority w:val="99"/>
    <w:semiHidden/>
    <w:unhideWhenUsed/>
    <w:rsid w:val="00C41B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21"/>
    <w:rPr>
      <w:rFonts w:ascii="Lucida Grande" w:hAnsi="Lucida Grande" w:cs="Lucida Grande"/>
      <w:sz w:val="18"/>
      <w:szCs w:val="18"/>
    </w:rPr>
  </w:style>
  <w:style w:type="character" w:customStyle="1" w:styleId="FontStyle43">
    <w:name w:val="Font Style43"/>
    <w:uiPriority w:val="99"/>
    <w:rsid w:val="005302DC"/>
    <w:rPr>
      <w:rFonts w:ascii="Times New Roman" w:hAnsi="Times New Roman" w:cs="Times New Roman"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67A0-73FC-4F11-88E2-559034CF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4221</TotalTime>
  <Pages>1</Pages>
  <Words>4114</Words>
  <Characters>23456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</dc:creator>
  <cp:keywords/>
  <dc:description/>
  <cp:lastModifiedBy>Yuli Setyo Budi</cp:lastModifiedBy>
  <cp:revision>717</cp:revision>
  <cp:lastPrinted>2021-06-30T11:56:00Z</cp:lastPrinted>
  <dcterms:created xsi:type="dcterms:W3CDTF">2022-07-01T14:15:00Z</dcterms:created>
  <dcterms:modified xsi:type="dcterms:W3CDTF">2022-11-05T13:01:00Z</dcterms:modified>
</cp:coreProperties>
</file>