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E1E" w14:textId="5B406E76" w:rsidR="00466531" w:rsidRPr="00E66164" w:rsidRDefault="00466531" w:rsidP="00A14D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64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IV</w:t>
      </w:r>
    </w:p>
    <w:p w14:paraId="41E6410A" w14:textId="249F8DE4" w:rsidR="00E66164" w:rsidRPr="007247D8" w:rsidRDefault="00466531" w:rsidP="00A14D1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D1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PEMBAHASAN PENELITIAN</w:t>
      </w:r>
    </w:p>
    <w:p w14:paraId="18133D12" w14:textId="77777777" w:rsidR="00E90BF1" w:rsidRPr="00E66164" w:rsidRDefault="00E90BF1" w:rsidP="00EF246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C17B0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7B35CFB9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6C4AEBA5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B41A2F2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E12F30B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1EFD011F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6383C754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1FC1DF14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0DF286FC" w14:textId="25865E4F" w:rsidR="00466531" w:rsidRPr="00BF10F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Gambaran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Umum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5E202C90" w14:textId="4602E435" w:rsidR="00466531" w:rsidRPr="00BF10F4" w:rsidRDefault="00931962" w:rsidP="009214CB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Gambaran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Umum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Perusahaan</w:t>
      </w:r>
      <w:r w:rsidR="00B66D0D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B66D0D" w:rsidRPr="00BF10F4">
        <w:rPr>
          <w:rFonts w:ascii="Times New Roman" w:hAnsi="Times New Roman" w:cs="Times New Roman"/>
          <w:b/>
          <w:bCs/>
          <w:color w:val="auto"/>
          <w:lang w:val="en-US"/>
        </w:rPr>
        <w:t>Sektor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Industri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Dasar</w:t>
      </w:r>
      <w:r w:rsidR="00C74F6C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dan Kimia</w:t>
      </w:r>
    </w:p>
    <w:p w14:paraId="2EFD93B0" w14:textId="77777777" w:rsidR="009214CB" w:rsidRDefault="00532403" w:rsidP="009214C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Di Indonesia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menyerap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kesejahteraan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oleh pasar.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pasar,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juga proses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mesin-mesin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BD4CC" w14:textId="14FA15E3" w:rsidR="009214CB" w:rsidRDefault="00B66D0D" w:rsidP="009214C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D0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="00415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53B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24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66D0D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migas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bahan-bahan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8F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asar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458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imia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non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pembentukan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produk</w:t>
      </w:r>
      <w:r w:rsidR="00DB33A2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domestik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real estate. </w:t>
      </w:r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7D2479"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7D2479"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 w:rsidRPr="00B66D0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7D2479"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D2479" w:rsidRPr="00B66D0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9 (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sembilan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: (1)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ternak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(2)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semen, (3)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keramik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porselen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(4)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(5)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(6)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(7)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pulp dan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(8)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(9) </w:t>
      </w:r>
      <w:proofErr w:type="spellStart"/>
      <w:r w:rsidR="007D24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7D2479">
        <w:rPr>
          <w:rFonts w:ascii="Times New Roman" w:hAnsi="Times New Roman" w:cs="Times New Roman"/>
          <w:sz w:val="24"/>
          <w:szCs w:val="24"/>
          <w:lang w:val="en-US"/>
        </w:rPr>
        <w:t xml:space="preserve"> lain-lain.</w:t>
      </w:r>
    </w:p>
    <w:p w14:paraId="71703B27" w14:textId="21174F54" w:rsidR="00D55C65" w:rsidRDefault="00D55C65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Profil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Perusahaan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Sektor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Industri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Dasar dan Kimia</w:t>
      </w:r>
    </w:p>
    <w:p w14:paraId="1D282170" w14:textId="77777777" w:rsidR="00B37908" w:rsidRPr="00B27D95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Asahimas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Flat Glass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(AMFG) </w:t>
      </w:r>
    </w:p>
    <w:p w14:paraId="1A8F0C2B" w14:textId="4AEE0F11" w:rsidR="00D55C65" w:rsidRPr="00A240AE" w:rsidRDefault="00B37908" w:rsidP="00A240A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40AE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Pr="00A240AE">
        <w:rPr>
          <w:rFonts w:ascii="Times New Roman" w:hAnsi="Times New Roman" w:cs="Times New Roman"/>
          <w:sz w:val="24"/>
          <w:szCs w:val="24"/>
        </w:rPr>
        <w:t xml:space="preserve"> Flat Glass </w:t>
      </w:r>
      <w:proofErr w:type="spellStart"/>
      <w:r w:rsidRPr="00A240AE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Mirror Glass dan Safety Glass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Automotive Glass.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C65" w:rsidRPr="00A240A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55C65" w:rsidRPr="00A240AE">
        <w:rPr>
          <w:rFonts w:ascii="Times New Roman" w:hAnsi="Times New Roman" w:cs="Times New Roman"/>
          <w:sz w:val="24"/>
          <w:szCs w:val="24"/>
        </w:rPr>
        <w:t xml:space="preserve"> April 1973.</w:t>
      </w:r>
      <w:r w:rsidR="00F84845" w:rsidRPr="00A240AE">
        <w:rPr>
          <w:rFonts w:ascii="Times New Roman" w:hAnsi="Times New Roman" w:cs="Times New Roman"/>
          <w:sz w:val="24"/>
          <w:szCs w:val="24"/>
        </w:rPr>
        <w:t xml:space="preserve"> Asahi Glass Co. Ltd (AGC Inc.)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oleh Mr. Toshiya Iwasaki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bertekad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1900-an.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Amagasaki, Hyogo,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1907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Amagasaki,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Asahi Glass.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1970-an, AGC Inc.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Thailand,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Flat Glass,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(PMA)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Rodamas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Mr. Tan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Siong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Kie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Rodamas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Ide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Asahi Glass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Rodamas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pionir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April 1973,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bening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Fourcault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Specialty Glass, Safety Glass,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Reflektif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1975,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Safety Glass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Proses Tempering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1976.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Flat Glass di Jakarta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1977.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1981,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lastRenderedPageBreak/>
        <w:t>teknologi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Float di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Jakarta,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ke-2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Fourcault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1983.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ke-4 (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Float ke-2) di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Surabaya,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1987.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ke-5 (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Float ke-3) dan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ke-6 (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Float ke-4)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1990 dan 1996,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masing-masing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1993 dan 1997.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Jakarta,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Surabaya.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1985 juga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Safety Glass,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diperkenalkannya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proses laminating Safety Glass.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Laminated Glass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1994,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Tungku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Fourcault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1997,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Safety Glass di Bukit Indah Industrial Park,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Barat,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1999.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720.000 ton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F" w:rsidRPr="00A240AE">
        <w:rPr>
          <w:rFonts w:ascii="Times New Roman" w:hAnsi="Times New Roman" w:cs="Times New Roman"/>
          <w:sz w:val="24"/>
          <w:szCs w:val="24"/>
        </w:rPr>
        <w:t>k</w:t>
      </w:r>
      <w:r w:rsidR="00F84845" w:rsidRPr="00A240AE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F" w:rsidRPr="00A240AE">
        <w:rPr>
          <w:rFonts w:ascii="Times New Roman" w:hAnsi="Times New Roman" w:cs="Times New Roman"/>
          <w:sz w:val="24"/>
          <w:szCs w:val="24"/>
        </w:rPr>
        <w:t>l</w:t>
      </w:r>
      <w:r w:rsidR="00F84845" w:rsidRPr="00A240AE">
        <w:rPr>
          <w:rFonts w:ascii="Times New Roman" w:hAnsi="Times New Roman" w:cs="Times New Roman"/>
          <w:sz w:val="24"/>
          <w:szCs w:val="24"/>
        </w:rPr>
        <w:t>embaran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, 5.800.000 meter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Safety Glass, dan 6.800.000 meter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juga di Asia Tenggara.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Asahimas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45" w:rsidRPr="00A240A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84845" w:rsidRPr="00A240AE">
        <w:rPr>
          <w:rFonts w:ascii="Times New Roman" w:hAnsi="Times New Roman" w:cs="Times New Roman"/>
          <w:sz w:val="24"/>
          <w:szCs w:val="24"/>
        </w:rPr>
        <w:t xml:space="preserve"> di Indonesia dan juga di Asia Tenggara.</w:t>
      </w:r>
    </w:p>
    <w:p w14:paraId="0590B736" w14:textId="0E0E8D4A" w:rsidR="00A03FC0" w:rsidRPr="00B27D95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Keramika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Indonesia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Assosiasi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(KIAS)</w:t>
      </w:r>
      <w:r w:rsidR="00A03FC0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33C36157" w14:textId="2E1E32AC" w:rsidR="00D55C65" w:rsidRPr="00695568" w:rsidRDefault="00A03FC0" w:rsidP="0069556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5568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695568">
        <w:rPr>
          <w:rFonts w:ascii="Times New Roman" w:hAnsi="Times New Roman" w:cs="Times New Roman"/>
          <w:sz w:val="24"/>
          <w:szCs w:val="24"/>
        </w:rPr>
        <w:t>Keramika</w:t>
      </w:r>
      <w:proofErr w:type="spellEnd"/>
      <w:r w:rsidRPr="0069556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95568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56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"KIA"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Impresso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dan "Spectra"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"KIA Roof" dan "KIA Ceiling Brick".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negara di Asia,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 xml:space="preserve"> dan Amerika </w:t>
      </w:r>
      <w:proofErr w:type="spellStart"/>
      <w:r w:rsidR="00D55C65" w:rsidRPr="00695568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D55C65" w:rsidRPr="00695568">
        <w:rPr>
          <w:rFonts w:ascii="Times New Roman" w:hAnsi="Times New Roman" w:cs="Times New Roman"/>
          <w:sz w:val="24"/>
          <w:szCs w:val="24"/>
        </w:rPr>
        <w:t>.</w:t>
      </w:r>
      <w:r w:rsidR="001B2D72" w:rsidRPr="0069556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lastRenderedPageBreak/>
        <w:t>Keramika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(KIA)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1953.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Pandang, Belitung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1968,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725 orang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training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brand KIA, IMPRESSO, dan SPECTRA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domesti</w:t>
      </w:r>
      <w:r w:rsidR="00C402FC" w:rsidRPr="0069556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Asia,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dan Amerika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Timur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Barat.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pabriknya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Bogor dan Karawang,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Barat;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atap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Bogor and Gresik,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Barat.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Penghargaan-penghargaan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1994,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Bursa Saham Jakarta dan Surabaya,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LPO (Limited Public Offering) 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Pre-emptive Rights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1997. Pada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1995,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ISO Standard 9001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Q4724 1995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dipersembahkan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oleh World Bank.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2011, para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SCG Building Materials Co. Ltd.,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93,51%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. SCG Building Materials Co., Ltd.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Thailand,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1998.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: PT.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Mas (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99.21%),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atap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, Bogor dan Gresik, Surabaya; dan PT. KIA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Serpih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Mas (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86.68%),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D72" w:rsidRPr="00695568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1B2D72" w:rsidRPr="00695568">
        <w:rPr>
          <w:rFonts w:ascii="Times New Roman" w:hAnsi="Times New Roman" w:cs="Times New Roman"/>
          <w:sz w:val="24"/>
          <w:szCs w:val="24"/>
        </w:rPr>
        <w:t>, Bogor, dan Karawang.</w:t>
      </w:r>
    </w:p>
    <w:p w14:paraId="0BD29C83" w14:textId="2496FE42" w:rsidR="00505076" w:rsidRPr="00B27D95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Polychem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Indonesia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(ADMG)</w:t>
      </w:r>
    </w:p>
    <w:p w14:paraId="0B641C4D" w14:textId="6B4562BC" w:rsidR="00D55C65" w:rsidRPr="00BF3C07" w:rsidRDefault="00505076" w:rsidP="00BF3C0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C07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BF3C07">
        <w:rPr>
          <w:rFonts w:ascii="Times New Roman" w:hAnsi="Times New Roman" w:cs="Times New Roman"/>
          <w:sz w:val="24"/>
          <w:szCs w:val="24"/>
        </w:rPr>
        <w:t>Polychem</w:t>
      </w:r>
      <w:proofErr w:type="spellEnd"/>
      <w:r w:rsidRPr="00BF3C0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F3C0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poliester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poliester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, engineering plastic, resin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etilen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glikol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stapel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poliester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petrokimia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rajutan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tenun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C65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BF3C07">
        <w:rPr>
          <w:rFonts w:ascii="Times New Roman" w:hAnsi="Times New Roman" w:cs="Times New Roman"/>
          <w:sz w:val="24"/>
          <w:szCs w:val="24"/>
        </w:rPr>
        <w:t xml:space="preserve"> 1990.</w:t>
      </w:r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Divisi Polyester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1978,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oleh Divisi Kimia 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1989.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Polyester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1980 dan 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1993, Nylon dan Glycol Ethylene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1998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SBR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etoksilat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1999. Pada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1999 kami juga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Polyester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300 ton per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Nylon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dilisensi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Scientific Design Inc, USA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Ethylene Oxide, Ethylene Glycol,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etoksilat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; Zimmer AG,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Polyester dan Nylon.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Nippon Zeon Co, Ltd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SBR.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Linde AG,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Chicago Bridge &amp; Iron USA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Ethylene Terminal Unit. Kami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Polychem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Indonesia,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39D4" w:rsidRPr="00BF3C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439D4" w:rsidRPr="00BF3C07">
        <w:rPr>
          <w:rFonts w:ascii="Times New Roman" w:hAnsi="Times New Roman" w:cs="Times New Roman"/>
          <w:sz w:val="24"/>
          <w:szCs w:val="24"/>
        </w:rPr>
        <w:t>.</w:t>
      </w:r>
    </w:p>
    <w:p w14:paraId="6C62D4C4" w14:textId="77777777" w:rsidR="0060486C" w:rsidRPr="00B27D95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PT</w:t>
      </w:r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Krakatau Steel (Persero)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(KRAS) </w:t>
      </w:r>
    </w:p>
    <w:p w14:paraId="47FB8C93" w14:textId="69869DDB" w:rsidR="00D55C65" w:rsidRPr="00FF779F" w:rsidRDefault="0060486C" w:rsidP="00FF779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79F">
        <w:rPr>
          <w:rFonts w:ascii="Times New Roman" w:hAnsi="Times New Roman" w:cs="Times New Roman"/>
          <w:sz w:val="24"/>
          <w:szCs w:val="24"/>
        </w:rPr>
        <w:t xml:space="preserve">PT Krakatau Steel (Persero) </w:t>
      </w:r>
      <w:proofErr w:type="spellStart"/>
      <w:r w:rsidRPr="00FF779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di Indonesia. Perusahaan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Sponge Iron Plant, Steel Billet Plant, dan Wire Rod Plant,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air, Pelabuhan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Cigading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. Perusahaan dan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, Banten. Perusahaan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C65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FF779F">
        <w:rPr>
          <w:rFonts w:ascii="Times New Roman" w:hAnsi="Times New Roman" w:cs="Times New Roman"/>
          <w:sz w:val="24"/>
          <w:szCs w:val="24"/>
        </w:rPr>
        <w:t xml:space="preserve"> 1971.</w:t>
      </w:r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Krakatau Steel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kelanjutannya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Baja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Trikora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dirintis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Soekarno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1970. Satu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pendiriannya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Perseroan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Spons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Billet Baja,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Rod Plant,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1973, Perseroan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pipa spiral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ASTM A252 dan AWWA C200.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1977, Perusahaan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API 5L dan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2009 juga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BC1.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1993, Perusahaan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ISO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9001 yang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ISO 9001:2000.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1997,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(K3L)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ISO 14001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SGS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Perseroan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Initial Public Offering (IPO) pada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10 November 2010,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“KRAS”.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, status Perusahaan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Perusahaan Publik dan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 xml:space="preserve"> PT Krakatau Steel (Persero) </w:t>
      </w:r>
      <w:proofErr w:type="spellStart"/>
      <w:r w:rsidR="00471078" w:rsidRPr="00FF779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471078" w:rsidRPr="00FF779F">
        <w:rPr>
          <w:rFonts w:ascii="Times New Roman" w:hAnsi="Times New Roman" w:cs="Times New Roman"/>
          <w:sz w:val="24"/>
          <w:szCs w:val="24"/>
        </w:rPr>
        <w:t>.</w:t>
      </w:r>
    </w:p>
    <w:p w14:paraId="3C8C9864" w14:textId="77777777" w:rsidR="0060486C" w:rsidRPr="0091670E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PT</w:t>
      </w:r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Gunawan</w:t>
      </w:r>
      <w:proofErr w:type="spellEnd"/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Dianjaya</w:t>
      </w:r>
      <w:proofErr w:type="spellEnd"/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Steel </w:t>
      </w:r>
      <w:proofErr w:type="spellStart"/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91670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(GDST) </w:t>
      </w:r>
    </w:p>
    <w:p w14:paraId="5138D9E3" w14:textId="1CDE02BE" w:rsidR="00D55C65" w:rsidRPr="003437DF" w:rsidRDefault="0060486C" w:rsidP="003437D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37DF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3437D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DF">
        <w:rPr>
          <w:rFonts w:ascii="Times New Roman" w:hAnsi="Times New Roman" w:cs="Times New Roman"/>
          <w:sz w:val="24"/>
          <w:szCs w:val="24"/>
        </w:rPr>
        <w:t>Dianjaya</w:t>
      </w:r>
      <w:proofErr w:type="spellEnd"/>
      <w:r w:rsidRPr="003437DF">
        <w:rPr>
          <w:rFonts w:ascii="Times New Roman" w:hAnsi="Times New Roman" w:cs="Times New Roman"/>
          <w:sz w:val="24"/>
          <w:szCs w:val="24"/>
        </w:rPr>
        <w:t xml:space="preserve"> Steel </w:t>
      </w:r>
      <w:proofErr w:type="spellStart"/>
      <w:r w:rsidRPr="003437D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hot rolling. Perusahaan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1993 dan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negeri dan </w:t>
      </w:r>
      <w:proofErr w:type="spellStart"/>
      <w:r w:rsidR="00D55C65" w:rsidRPr="003437D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D55C65" w:rsidRPr="003437DF">
        <w:rPr>
          <w:rFonts w:ascii="Times New Roman" w:hAnsi="Times New Roman" w:cs="Times New Roman"/>
          <w:sz w:val="24"/>
          <w:szCs w:val="24"/>
        </w:rPr>
        <w:t xml:space="preserve"> negeri.</w:t>
      </w:r>
      <w:r w:rsidR="00080E4D" w:rsidRPr="003437D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Dianjaya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Steel,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. (GDS)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1989 di Surabaya.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Jamie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Nahdi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, SH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8 April 1989 dan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C-2.11174. HT.01.01.Th.1989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1989. Pada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2004 status GDS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Modal No.15/V/PMA/2004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2004.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Dasar Perseroan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dicatatkan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Dian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Silviyana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Khusnarini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, SH. No 14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24 November 2015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oleh Menteri Hukum dan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AHU-0947967.AH.01.02.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2015,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Dasar,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penggilingan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canai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hektar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, GDS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berproduksi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1993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, GDS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Four High Rolling Mill dan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, GDS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, GDS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rolling mill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0E4D" w:rsidRPr="003437DF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080E4D" w:rsidRPr="003437DF">
        <w:rPr>
          <w:rFonts w:ascii="Times New Roman" w:hAnsi="Times New Roman" w:cs="Times New Roman"/>
          <w:sz w:val="24"/>
          <w:szCs w:val="24"/>
        </w:rPr>
        <w:t xml:space="preserve"> ASEAN.</w:t>
      </w:r>
    </w:p>
    <w:p w14:paraId="58EF39DC" w14:textId="77777777" w:rsidR="002B44B8" w:rsidRPr="00B27D95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Citra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Tubindo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(CTBN) </w:t>
      </w:r>
    </w:p>
    <w:p w14:paraId="15ED3D5F" w14:textId="667204B9" w:rsidR="00D55C65" w:rsidRPr="00BA50CD" w:rsidRDefault="002B44B8" w:rsidP="00BA50C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50CD">
        <w:rPr>
          <w:rFonts w:ascii="Times New Roman" w:hAnsi="Times New Roman" w:cs="Times New Roman"/>
          <w:sz w:val="24"/>
          <w:szCs w:val="24"/>
        </w:rPr>
        <w:t xml:space="preserve">PT Citra </w:t>
      </w:r>
      <w:proofErr w:type="spellStart"/>
      <w:r w:rsidRPr="00BA50CD">
        <w:rPr>
          <w:rFonts w:ascii="Times New Roman" w:hAnsi="Times New Roman" w:cs="Times New Roman"/>
          <w:sz w:val="24"/>
          <w:szCs w:val="24"/>
        </w:rPr>
        <w:t>Tubindo</w:t>
      </w:r>
      <w:proofErr w:type="spellEnd"/>
      <w:r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0C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gulir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asesoris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1984, dan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(</w:t>
      </w:r>
      <w:r w:rsidR="00D55C65" w:rsidRPr="002A73D1">
        <w:rPr>
          <w:rFonts w:ascii="Times New Roman" w:hAnsi="Times New Roman" w:cs="Times New Roman"/>
          <w:i/>
          <w:iCs/>
          <w:sz w:val="24"/>
          <w:szCs w:val="24"/>
        </w:rPr>
        <w:t>seamless</w:t>
      </w:r>
      <w:r w:rsidR="00D55C65" w:rsidRPr="00BA50CD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1992.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Vallourec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SA,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BA50C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BA50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5A3C" w:rsidRPr="00BA50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85A3C" w:rsidRPr="00BA5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A3C" w:rsidRPr="003F5D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3F5D8A">
        <w:rPr>
          <w:rFonts w:ascii="Times New Roman" w:hAnsi="Times New Roman" w:cs="Times New Roman"/>
          <w:sz w:val="24"/>
          <w:szCs w:val="24"/>
        </w:rPr>
        <w:t>.</w:t>
      </w:r>
      <w:r w:rsidR="00446918" w:rsidRPr="003F5D8A">
        <w:rPr>
          <w:rFonts w:ascii="Times New Roman" w:hAnsi="Times New Roman" w:cs="Times New Roman"/>
          <w:sz w:val="24"/>
          <w:szCs w:val="24"/>
        </w:rPr>
        <w:t xml:space="preserve"> </w:t>
      </w:r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ini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didirikan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tanggal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Agustus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1983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peraturan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Penanaman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Dalam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Negeri (PMDN),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berkedudukan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Batam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, Indonesia</w:t>
      </w:r>
      <w:r w:rsidR="007857B7">
        <w:rPr>
          <w:rStyle w:val="rynqvb"/>
          <w:rFonts w:ascii="Times New Roman" w:hAnsi="Times New Roman" w:cs="Times New Roman"/>
          <w:sz w:val="24"/>
          <w:szCs w:val="24"/>
        </w:rPr>
        <w:t xml:space="preserve">. </w:t>
      </w:r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Perseroan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aktivitas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usaha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yaitu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menjadi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pemasok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keperluan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“Oil Country Tubular Goods” (OCTG), pipa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salur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, dan pipa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pengeboran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kepada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minyak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dan gas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bumi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mencakup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tanpa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kampuh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dengan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mengacu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kepada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standar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API (American Petroleum Institute) </w:t>
      </w:r>
      <w:proofErr w:type="spellStart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>serta</w:t>
      </w:r>
      <w:proofErr w:type="spellEnd"/>
      <w:r w:rsidR="007857B7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Premium Connection</w:t>
      </w:r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.</w:t>
      </w:r>
      <w:r w:rsidR="003F5D8A" w:rsidRPr="003F5D8A">
        <w:rPr>
          <w:rStyle w:val="hwtz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Tujuan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C6">
        <w:rPr>
          <w:rStyle w:val="rynqvb"/>
          <w:rFonts w:ascii="Times New Roman" w:hAnsi="Times New Roman" w:cs="Times New Roman"/>
          <w:sz w:val="24"/>
          <w:szCs w:val="24"/>
        </w:rPr>
        <w:t>p</w:t>
      </w:r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erusahaan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adalah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untuk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bergerak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dalam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bidang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usaha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industri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jasa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dalam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industri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minyak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&amp; gas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serta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industri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pertambangan</w:t>
      </w:r>
      <w:proofErr w:type="spellEnd"/>
      <w:r w:rsidR="003F5D8A" w:rsidRPr="003F5D8A">
        <w:rPr>
          <w:rStyle w:val="rynqvb"/>
          <w:rFonts w:ascii="Times New Roman" w:hAnsi="Times New Roman" w:cs="Times New Roman"/>
          <w:sz w:val="24"/>
          <w:szCs w:val="24"/>
        </w:rPr>
        <w:t>.</w:t>
      </w:r>
    </w:p>
    <w:p w14:paraId="511FF8E4" w14:textId="77777777" w:rsidR="00E45287" w:rsidRPr="00B27D95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Alumindo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Light Metal Industry </w:t>
      </w:r>
      <w:proofErr w:type="spellStart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B27D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(ALMI) </w:t>
      </w:r>
    </w:p>
    <w:p w14:paraId="559ADE5F" w14:textId="4B800CB9" w:rsidR="00D55C65" w:rsidRPr="00566CB8" w:rsidRDefault="00E45287" w:rsidP="00566CB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6CB8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566CB8">
        <w:rPr>
          <w:rFonts w:ascii="Times New Roman" w:hAnsi="Times New Roman" w:cs="Times New Roman"/>
          <w:sz w:val="24"/>
          <w:szCs w:val="24"/>
        </w:rPr>
        <w:t>Alumindo</w:t>
      </w:r>
      <w:proofErr w:type="spellEnd"/>
      <w:r w:rsidRPr="00566CB8">
        <w:rPr>
          <w:rFonts w:ascii="Times New Roman" w:hAnsi="Times New Roman" w:cs="Times New Roman"/>
          <w:sz w:val="24"/>
          <w:szCs w:val="24"/>
        </w:rPr>
        <w:t xml:space="preserve"> Light Metal Industry </w:t>
      </w:r>
      <w:proofErr w:type="spellStart"/>
      <w:r w:rsidRPr="00566CB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flat aluminium roll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Maspion. Perusahaan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1983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aluminium dan foil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berturutan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aluminium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. Aluminium foil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negeri dan </w:t>
      </w:r>
      <w:proofErr w:type="spellStart"/>
      <w:r w:rsidR="00D55C65" w:rsidRPr="00566CB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D55C65" w:rsidRPr="00566CB8">
        <w:rPr>
          <w:rFonts w:ascii="Times New Roman" w:hAnsi="Times New Roman" w:cs="Times New Roman"/>
          <w:sz w:val="24"/>
          <w:szCs w:val="24"/>
        </w:rPr>
        <w:t xml:space="preserve"> negeri.</w:t>
      </w:r>
      <w:r w:rsidR="00DC4B89" w:rsidRPr="00566CB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Alumindo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Light Metal Industry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. (ALMI)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aluminium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di Indonesia dan Asia Tenggara.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Timur, ALMI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1978 dan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1983,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12.000 ton dan 4.800 ton per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aluminium sheet dan aluminium foil. Pada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ALMI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Maspion dan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pasar Indonesia.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, ALMI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144.000 ton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aluminium </w:t>
      </w:r>
      <w:r w:rsidR="00DC4B89" w:rsidRPr="00940B8C">
        <w:rPr>
          <w:rFonts w:ascii="Times New Roman" w:hAnsi="Times New Roman" w:cs="Times New Roman"/>
          <w:i/>
          <w:iCs/>
          <w:sz w:val="24"/>
          <w:szCs w:val="24"/>
        </w:rPr>
        <w:t>sheet</w:t>
      </w:r>
      <w:r w:rsidR="00DC4B89" w:rsidRPr="00566CB8">
        <w:rPr>
          <w:rFonts w:ascii="Times New Roman" w:hAnsi="Times New Roman" w:cs="Times New Roman"/>
          <w:sz w:val="24"/>
          <w:szCs w:val="24"/>
        </w:rPr>
        <w:t xml:space="preserve"> dan 18.000 </w:t>
      </w:r>
      <w:r w:rsidR="00DC4B89" w:rsidRPr="00566CB8">
        <w:rPr>
          <w:rFonts w:ascii="Times New Roman" w:hAnsi="Times New Roman" w:cs="Times New Roman"/>
          <w:sz w:val="24"/>
          <w:szCs w:val="24"/>
        </w:rPr>
        <w:lastRenderedPageBreak/>
        <w:t xml:space="preserve">ton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aluminium foil. ALMI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aluminium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4B89" w:rsidRPr="00566CB8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DC4B89" w:rsidRPr="00566CB8">
        <w:rPr>
          <w:rFonts w:ascii="Times New Roman" w:hAnsi="Times New Roman" w:cs="Times New Roman"/>
          <w:sz w:val="24"/>
          <w:szCs w:val="24"/>
        </w:rPr>
        <w:t xml:space="preserve"> Asia Tenggara.</w:t>
      </w:r>
    </w:p>
    <w:p w14:paraId="5D0FB972" w14:textId="77777777" w:rsidR="00CE6C51" w:rsidRPr="00CE6C51" w:rsidRDefault="00BC604F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Saranacentral</w:t>
      </w:r>
      <w:proofErr w:type="spellEnd"/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Bajatama</w:t>
      </w:r>
      <w:proofErr w:type="spellEnd"/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CE6C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(BAJA) </w:t>
      </w:r>
    </w:p>
    <w:p w14:paraId="29D5C1CC" w14:textId="263269CC" w:rsidR="00D55C65" w:rsidRPr="00811CBD" w:rsidRDefault="00CE6C51" w:rsidP="00811CB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1CBD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Saranacentral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Bajatama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Sarana Steel Group. Perusahaan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galvani</w:t>
      </w:r>
      <w:r w:rsidR="00E2033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/coil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455BC" w:rsidRPr="00811CB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6455BC"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811CB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55C65" w:rsidRPr="00811CBD">
        <w:rPr>
          <w:rFonts w:ascii="Times New Roman" w:hAnsi="Times New Roman" w:cs="Times New Roman"/>
          <w:sz w:val="24"/>
          <w:szCs w:val="24"/>
        </w:rPr>
        <w:t>.</w:t>
      </w:r>
      <w:r w:rsidRPr="00811CBD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Saranacentral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Bajatama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(SCB),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1996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oleh Sarana Steel Group,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1970 dan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Hot-Dip Galvanized Steel Sheet/Coil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NOF (Non-Oxidation Furnace)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bermerek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“SARANA”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galvanis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". Dan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mili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peprusahaan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era dunia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lapis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elektrikal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Saranacentral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Bajatama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(SCB)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2010,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lapis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aluminium-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(55%Al-45%Zn)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Saranalume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lastRenderedPageBreak/>
        <w:t>pengalaman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galvanisasi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berteknologi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bersertifikat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ISO 9001,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Saranalume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Saranacentral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Bajatama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(SCB) sangat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positioning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“SARANACOLOR”.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lapis 3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di Indonesia, yang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SCB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Baja Lapis 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Galvanis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>, Baja Lapis Seng/</w:t>
      </w:r>
      <w:proofErr w:type="spellStart"/>
      <w:r w:rsidRPr="00811CBD">
        <w:rPr>
          <w:rFonts w:ascii="Times New Roman" w:hAnsi="Times New Roman" w:cs="Times New Roman"/>
          <w:sz w:val="24"/>
          <w:szCs w:val="24"/>
        </w:rPr>
        <w:t>Alumunium</w:t>
      </w:r>
      <w:proofErr w:type="spellEnd"/>
      <w:r w:rsidRPr="00811CBD">
        <w:rPr>
          <w:rFonts w:ascii="Times New Roman" w:hAnsi="Times New Roman" w:cs="Times New Roman"/>
          <w:sz w:val="24"/>
          <w:szCs w:val="24"/>
        </w:rPr>
        <w:t xml:space="preserve"> (SARANALUME), dan Baja Lukis (SARANACOLOR).</w:t>
      </w:r>
    </w:p>
    <w:p w14:paraId="3DF3E48E" w14:textId="77777777" w:rsidR="00CD584F" w:rsidRPr="00130BA6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D55C65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55C65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Lionmesh</w:t>
      </w:r>
      <w:proofErr w:type="spellEnd"/>
      <w:r w:rsidR="00D55C65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Prima </w:t>
      </w:r>
      <w:proofErr w:type="spellStart"/>
      <w:r w:rsidR="00D55C65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D55C65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(LMSH) </w:t>
      </w:r>
    </w:p>
    <w:p w14:paraId="164B145F" w14:textId="769054C3" w:rsidR="00D55C65" w:rsidRPr="00CD584F" w:rsidRDefault="00CD584F" w:rsidP="00CD584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584F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CD584F">
        <w:rPr>
          <w:rFonts w:ascii="Times New Roman" w:hAnsi="Times New Roman" w:cs="Times New Roman"/>
          <w:sz w:val="24"/>
          <w:szCs w:val="24"/>
        </w:rPr>
        <w:t>Lionmesh</w:t>
      </w:r>
      <w:proofErr w:type="spellEnd"/>
      <w:r w:rsidRPr="00CD584F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CD584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weld mesh,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5C65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5C65" w:rsidRPr="00CD584F">
        <w:rPr>
          <w:rFonts w:ascii="Times New Roman" w:hAnsi="Times New Roman" w:cs="Times New Roman"/>
          <w:sz w:val="24"/>
          <w:szCs w:val="24"/>
        </w:rPr>
        <w:t xml:space="preserve"> 1984.</w:t>
      </w:r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Lionmesh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(Perseroan)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PT Lion Weldmesh Prima,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di Jakarta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1982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Negeri (PMDN),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jaring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las.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1990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Pasar Modal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600.000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. Perseroan juga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disetor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Jakarta dan Bursa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Surabaya (Company Listing)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5 No</w:t>
      </w:r>
      <w:r w:rsidR="005A3224">
        <w:rPr>
          <w:rFonts w:ascii="Times New Roman" w:hAnsi="Times New Roman" w:cs="Times New Roman"/>
          <w:sz w:val="24"/>
          <w:szCs w:val="24"/>
        </w:rPr>
        <w:t>v</w:t>
      </w:r>
      <w:r w:rsidR="00DD7C5C" w:rsidRPr="00CD584F">
        <w:rPr>
          <w:rFonts w:ascii="Times New Roman" w:hAnsi="Times New Roman" w:cs="Times New Roman"/>
          <w:sz w:val="24"/>
          <w:szCs w:val="24"/>
        </w:rPr>
        <w:t xml:space="preserve">ember 1990.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Saham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1994,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3.200.000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Rp3.200.000.000,-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agio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dicatatkan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Jakarta dan Bursa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Surabaya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1994.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1995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lastRenderedPageBreak/>
        <w:t>Terbatas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4.800.000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diaktakan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Adam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Kasdarmadji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SH. No.296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1995,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(right)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Rp1.000,- per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Dasar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Dasar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No.1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No.8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Pasar Modal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No.88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7 Mei 1997,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oleh Indah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Prastiti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Extensia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SH.,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Adam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Kasdarmadji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SH.,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Rp38.000.000.000,-.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oleh Menteri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Surat Keputusan No.C2-2560 HT.01.04.Th.98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1998.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Dasar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No.29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Fathiah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Helmi, SH.,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No.40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Dasar Perusahaan.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oleh Menteri Hukum 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Surat Keputusan No.AHU-86981.AH.01.02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18 No</w:t>
      </w:r>
      <w:r w:rsidR="005A3224">
        <w:rPr>
          <w:rFonts w:ascii="Times New Roman" w:hAnsi="Times New Roman" w:cs="Times New Roman"/>
          <w:sz w:val="24"/>
          <w:szCs w:val="24"/>
        </w:rPr>
        <w:t>v</w:t>
      </w:r>
      <w:r w:rsidR="00DD7C5C" w:rsidRPr="00CD584F">
        <w:rPr>
          <w:rFonts w:ascii="Times New Roman" w:hAnsi="Times New Roman" w:cs="Times New Roman"/>
          <w:sz w:val="24"/>
          <w:szCs w:val="24"/>
        </w:rPr>
        <w:t xml:space="preserve">ember 2008.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Saham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Perseroan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2015,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diaktanotariskan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No.2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2015 oleh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Fathiah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Helmi, SH., para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Perseroan. Nilai nominal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Rp1.000,- per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Rp100,- per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, modal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disetor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masing-masing yang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9.600.000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96.000.000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7C5C" w:rsidRPr="00CD58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D7C5C" w:rsidRPr="00CD584F">
        <w:rPr>
          <w:rFonts w:ascii="Times New Roman" w:hAnsi="Times New Roman" w:cs="Times New Roman"/>
          <w:sz w:val="24"/>
          <w:szCs w:val="24"/>
        </w:rPr>
        <w:t xml:space="preserve"> 2015.</w:t>
      </w:r>
    </w:p>
    <w:p w14:paraId="64923E92" w14:textId="77777777" w:rsidR="00CE043D" w:rsidRPr="00130BA6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PT</w:t>
      </w:r>
      <w:r w:rsidR="00E01527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Berlina </w:t>
      </w:r>
      <w:proofErr w:type="spellStart"/>
      <w:r w:rsidR="00E01527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E01527" w:rsidRPr="00130B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(BRNA) </w:t>
      </w:r>
    </w:p>
    <w:p w14:paraId="3457C8D8" w14:textId="4AD060FD" w:rsidR="00E01527" w:rsidRPr="00CE043D" w:rsidRDefault="00CE043D" w:rsidP="00CE043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43D">
        <w:rPr>
          <w:rFonts w:ascii="Times New Roman" w:hAnsi="Times New Roman" w:cs="Times New Roman"/>
          <w:sz w:val="24"/>
          <w:szCs w:val="24"/>
        </w:rPr>
        <w:t xml:space="preserve">PT Berlina </w:t>
      </w:r>
      <w:proofErr w:type="spellStart"/>
      <w:r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dan fiberglass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1970.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negeri.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Pandaan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Timur), Tangerang (Banten) dan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Barat). Berlina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r w:rsidR="003A0FED" w:rsidRPr="00CE043D">
        <w:rPr>
          <w:rFonts w:ascii="Times New Roman" w:hAnsi="Times New Roman" w:cs="Times New Roman"/>
          <w:sz w:val="24"/>
          <w:szCs w:val="24"/>
        </w:rPr>
        <w:t>PT</w:t>
      </w:r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Satrya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1527" w:rsidRPr="00CE043D">
        <w:rPr>
          <w:rFonts w:ascii="Times New Roman" w:hAnsi="Times New Roman" w:cs="Times New Roman"/>
          <w:sz w:val="24"/>
          <w:szCs w:val="24"/>
        </w:rPr>
        <w:t>.</w:t>
      </w:r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(Perusahaan)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1969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Julian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Nimred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Siregar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Mangaradja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Namora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SH,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Jakarta, No. 35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1969.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oleh Menteri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No. Y.A. 5/423/18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1973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Negara No. 37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No. 284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10 Mei 1977.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Dasar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No. 14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2008,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Dyah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Ambarwaty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Setyoso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SH,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Surabaya,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Dasar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No. 40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Menteri Hukum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Repubik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No AHU-93754.AH.01.02.Tahun 2008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2008.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Blow Moulding pada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masing-masing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Pandaan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Pasuruan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Timur,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Gempol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Pasuruan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Timur,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Tangerang – Banten,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Barat dan di Hefei,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kosmetika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</w:t>
      </w:r>
      <w:r w:rsidR="009D450F" w:rsidRPr="00CE043D">
        <w:rPr>
          <w:rFonts w:ascii="Times New Roman" w:hAnsi="Times New Roman" w:cs="Times New Roman"/>
          <w:sz w:val="24"/>
          <w:szCs w:val="24"/>
        </w:rPr>
        <w:lastRenderedPageBreak/>
        <w:t xml:space="preserve">Unilever Indonesia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Beiersdorf Indonesia, PT Bayer Indonesia, PT Syngenta Indonesia,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Reckit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Benkiser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Indonesia, PT KAO Indonesia,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Technopia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Jakarta,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Autochem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Industry, PT Cussons Indonesia,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Ikapharmindo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Putramas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Kinocare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Komestindo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Dupont Agricultural Product Indonesia,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Sanova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Paragon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Tecnology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Innovation, PT Mike Oleo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Nabati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Ratu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Unilever Philippines Inc, PT Kalbe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Campina Ice Cream Industry, PT Smart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Binzagr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Unilever Ltd,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Konimex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Tirta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Investama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tujuan-tujuannya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PT.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Lamipak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Primula Indonesia yang 70 %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oleh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mengkhususkan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Tube dan Laminated Tube,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Swiss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Lamipak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primula Indonesia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Hefei Paragon Plastic Packaging Co. Ltd.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Hefei,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100 %. Pada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merger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Shanghai Paragon Plastic Packaging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Co.Ltd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Hefei Paragon Plastic Packaging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Co.Ltd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Pte.Ltd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100 %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Singapura. Pada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Pte.Ltd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pada Accounting and Corporate Regulatory Authority (ACRA) Singapore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Pte.Ltd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PT.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regional. PT.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Quantex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Oli dan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Pelumas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2013. Pada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2014 Perusahaan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dan modal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pada PT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Quantex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99,5%. PT Natura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Plastindo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PT Berlina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99,99%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Pasuruan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Timur. PT Natura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Plastindo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0F" w:rsidRPr="00CE043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9D450F" w:rsidRPr="00CE043D">
        <w:rPr>
          <w:rFonts w:ascii="Times New Roman" w:hAnsi="Times New Roman" w:cs="Times New Roman"/>
          <w:sz w:val="24"/>
          <w:szCs w:val="24"/>
        </w:rPr>
        <w:t>.</w:t>
      </w:r>
    </w:p>
    <w:p w14:paraId="2A1A4F68" w14:textId="77777777" w:rsidR="00130BA6" w:rsidRPr="00113AA0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13A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E01527" w:rsidRPr="00113A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Lotte Chemical Titan </w:t>
      </w:r>
      <w:proofErr w:type="spellStart"/>
      <w:r w:rsidR="00E01527" w:rsidRPr="00113A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E01527" w:rsidRPr="00113A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(FPNI) </w:t>
      </w:r>
    </w:p>
    <w:p w14:paraId="4E0B83A9" w14:textId="0D9EB2DA" w:rsidR="00E01527" w:rsidRPr="00113AA0" w:rsidRDefault="00130BA6" w:rsidP="00113AA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3AA0">
        <w:rPr>
          <w:rFonts w:ascii="Times New Roman" w:hAnsi="Times New Roman" w:cs="Times New Roman"/>
          <w:sz w:val="24"/>
          <w:szCs w:val="24"/>
        </w:rPr>
        <w:t xml:space="preserve">PT Lotte Chemical Titan </w:t>
      </w:r>
      <w:proofErr w:type="spellStart"/>
      <w:r w:rsidRPr="00113AA0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. Perusahaan dan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Lotte Chemical Corp.,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Korea, yang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113AA0">
        <w:rPr>
          <w:rFonts w:ascii="Times New Roman" w:hAnsi="Times New Roman" w:cs="Times New Roman"/>
          <w:sz w:val="24"/>
          <w:szCs w:val="24"/>
        </w:rPr>
        <w:t>terlama</w:t>
      </w:r>
      <w:proofErr w:type="spellEnd"/>
      <w:r w:rsidR="00E01527" w:rsidRPr="00113AA0">
        <w:rPr>
          <w:rFonts w:ascii="Times New Roman" w:hAnsi="Times New Roman" w:cs="Times New Roman"/>
          <w:sz w:val="24"/>
          <w:szCs w:val="24"/>
        </w:rPr>
        <w:t>.</w:t>
      </w:r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PT Lotte Chemical Titan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5E339B" w:rsidRPr="00113AA0">
        <w:rPr>
          <w:rFonts w:ascii="Times New Roman" w:hAnsi="Times New Roman" w:cs="Times New Roman"/>
          <w:sz w:val="24"/>
          <w:szCs w:val="24"/>
        </w:rPr>
        <w:t xml:space="preserve"> (LCTTBK)</w:t>
      </w:r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Indofatra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Ny.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Rukmasanti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Hardjasatya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, SH.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1987 yang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oleh Menteri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C2-6603.HT.01.01.Th.88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1988. LCTTBK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8.000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ton per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1988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Fatrapolindo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C-5565.HT.01.04-TH.2001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23 April 2001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pada Bursa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FPNI. Pada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PT Titan Kimia Nusantara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I –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modal pada TIHL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mengakuisisi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Titan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Petchem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. Bhd., pada Chemical Brothers Ltd., yang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PT Titan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Petrokimia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Nusantara.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PT Lotte Chemical Titan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lastRenderedPageBreak/>
        <w:t>dimuat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Fathiah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Helmi, SH.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 April 2013 yang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oleh Menteri Hukum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AHU-19689.AH.01.02.Tahun 2013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15 April 2013,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importasi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polyethylene (PE) dan polypropylene (PP). LCTTBK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7262BC" w:rsidRPr="0011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C" w:rsidRPr="00113AA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2262F" w:rsidRPr="00113AA0">
        <w:rPr>
          <w:rFonts w:ascii="Times New Roman" w:hAnsi="Times New Roman" w:cs="Times New Roman"/>
          <w:sz w:val="24"/>
          <w:szCs w:val="24"/>
        </w:rPr>
        <w:t>.</w:t>
      </w:r>
    </w:p>
    <w:p w14:paraId="007A8356" w14:textId="77777777" w:rsidR="000F73D6" w:rsidRPr="00DF35FE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Yanaprima</w:t>
      </w:r>
      <w:proofErr w:type="spellEnd"/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Hastapersada</w:t>
      </w:r>
      <w:proofErr w:type="spellEnd"/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E01527" w:rsidRPr="00DF35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(YPAS) </w:t>
      </w:r>
    </w:p>
    <w:p w14:paraId="24663A5D" w14:textId="48DDCFD2" w:rsidR="00E01527" w:rsidRPr="000F73D6" w:rsidRDefault="000F73D6" w:rsidP="000F73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73D6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0F73D6">
        <w:rPr>
          <w:rFonts w:ascii="Times New Roman" w:hAnsi="Times New Roman" w:cs="Times New Roman"/>
          <w:sz w:val="24"/>
          <w:szCs w:val="24"/>
        </w:rPr>
        <w:t>Yanaprima</w:t>
      </w:r>
      <w:proofErr w:type="spellEnd"/>
      <w:r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3D6">
        <w:rPr>
          <w:rFonts w:ascii="Times New Roman" w:hAnsi="Times New Roman" w:cs="Times New Roman"/>
          <w:sz w:val="24"/>
          <w:szCs w:val="24"/>
        </w:rPr>
        <w:t>Hastapersada</w:t>
      </w:r>
      <w:proofErr w:type="spellEnd"/>
      <w:r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3D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Polypropylene (PP) dan Polyethylene (PE) Woven Bags, Cement Bags / Paper Bags, Block-bottom Bags, Laminated Cloth, Tarpaulin, Kraft Paper, dan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1527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01527" w:rsidRPr="000F73D6">
        <w:rPr>
          <w:rFonts w:ascii="Times New Roman" w:hAnsi="Times New Roman" w:cs="Times New Roman"/>
          <w:sz w:val="24"/>
          <w:szCs w:val="24"/>
        </w:rPr>
        <w:t xml:space="preserve"> 1997.</w:t>
      </w:r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1995 di Jakarta, Perusahaan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tenun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1997 di Jl.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Cemengkalang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Timur.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2000, 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laminasi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semen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kraft (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Semen 3 Ply).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2005, Perusahaan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semen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sandwich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kraft yang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memasok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semen di Indonesia.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2008, 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di Jalan Raya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Tandes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208, Surabaya,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Timur. Perusahaan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memperdagangkan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Perdana (IPO)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2008.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2009, 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: PP Woven Block Bottom Bag,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semen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) lapis yang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di Sulawesi Selatan, 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di Makassar pada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pasar di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2012, </w:t>
      </w:r>
      <w:r w:rsidR="007A06FB" w:rsidRPr="000F73D6">
        <w:rPr>
          <w:rFonts w:ascii="Times New Roman" w:hAnsi="Times New Roman" w:cs="Times New Roman"/>
          <w:sz w:val="24"/>
          <w:szCs w:val="24"/>
        </w:rPr>
        <w:lastRenderedPageBreak/>
        <w:t xml:space="preserve">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/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mengupgrade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Rp</w:t>
      </w:r>
      <w:r w:rsidR="008F4347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7A06FB" w:rsidRPr="000F73D6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global, 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, Perseroan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terobosan-terobosan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FB" w:rsidRPr="000F73D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A06FB" w:rsidRPr="000F73D6">
        <w:rPr>
          <w:rFonts w:ascii="Times New Roman" w:hAnsi="Times New Roman" w:cs="Times New Roman"/>
          <w:sz w:val="24"/>
          <w:szCs w:val="24"/>
        </w:rPr>
        <w:t xml:space="preserve"> dan pasar.</w:t>
      </w:r>
    </w:p>
    <w:p w14:paraId="13A9AD45" w14:textId="77777777" w:rsidR="002B5AE7" w:rsidRPr="003E08E1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E08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E01527" w:rsidRPr="003E08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SLJ Global </w:t>
      </w:r>
      <w:proofErr w:type="spellStart"/>
      <w:r w:rsidR="00E01527" w:rsidRPr="003E08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E01527" w:rsidRPr="003E08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(SULI) </w:t>
      </w:r>
    </w:p>
    <w:p w14:paraId="3B0E7CE2" w14:textId="3244C797" w:rsidR="00E01527" w:rsidRPr="002B5AE7" w:rsidRDefault="00E01527" w:rsidP="002B5AE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AE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penebangan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AE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B5AE7">
        <w:rPr>
          <w:rFonts w:ascii="Times New Roman" w:hAnsi="Times New Roman" w:cs="Times New Roman"/>
          <w:sz w:val="24"/>
          <w:szCs w:val="24"/>
        </w:rPr>
        <w:t>.</w:t>
      </w:r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14 April 1980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PT Sumalindo Lestari Jaya.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pertambangan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RUPS-LB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2012,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PT SLJ Global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Menteri Hukum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AHU-25591.AH.01.02.Tahun 2013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tertanggal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14 Mei 2013.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mengkhususkan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perkayuan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) areal IUPHHK-HA (d/h: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Pengusahaan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132.000 Ha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lapis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66.000 m3/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corporate action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divestasi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lapis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190.000 m3/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MDF (Medium Density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Fiberboard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200.000 m3/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. Perseroan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) areal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840.500 Ha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IUPHHK-HA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PT Essam Timber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(Power Plant),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PT Kalimantan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lastRenderedPageBreak/>
        <w:t>Powerindo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(</w:t>
      </w:r>
      <w:r w:rsidR="003A0FED" w:rsidRPr="002B5AE7">
        <w:rPr>
          <w:rFonts w:ascii="Times New Roman" w:hAnsi="Times New Roman" w:cs="Times New Roman"/>
          <w:sz w:val="24"/>
          <w:szCs w:val="24"/>
        </w:rPr>
        <w:t xml:space="preserve">PT </w:t>
      </w:r>
      <w:r w:rsidR="00A628EE" w:rsidRPr="002B5AE7">
        <w:rPr>
          <w:rFonts w:ascii="Times New Roman" w:hAnsi="Times New Roman" w:cs="Times New Roman"/>
          <w:sz w:val="24"/>
          <w:szCs w:val="24"/>
        </w:rPr>
        <w:t xml:space="preserve">KP)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total 22.5 MW. Pada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25.000.000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di Bursa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Jakarta (s/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: PT Bursa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Indonesia).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(Right Issue),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waran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portepel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dan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di PT Bursa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3.111.401.022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2002 PT Astra International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(75%)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Sejahtera (</w:t>
      </w:r>
      <w:r w:rsidR="003A0FED" w:rsidRPr="002B5AE7">
        <w:rPr>
          <w:rFonts w:ascii="Times New Roman" w:hAnsi="Times New Roman" w:cs="Times New Roman"/>
          <w:sz w:val="24"/>
          <w:szCs w:val="24"/>
        </w:rPr>
        <w:t xml:space="preserve">PT </w:t>
      </w:r>
      <w:r w:rsidR="00A628EE" w:rsidRPr="002B5AE7">
        <w:rPr>
          <w:rFonts w:ascii="Times New Roman" w:hAnsi="Times New Roman" w:cs="Times New Roman"/>
          <w:sz w:val="24"/>
          <w:szCs w:val="24"/>
        </w:rPr>
        <w:t>SGS). PT</w:t>
      </w:r>
      <w:r w:rsidR="003A0FED" w:rsidRPr="002B5AE7">
        <w:rPr>
          <w:rFonts w:ascii="Times New Roman" w:hAnsi="Times New Roman" w:cs="Times New Roman"/>
          <w:sz w:val="24"/>
          <w:szCs w:val="24"/>
        </w:rPr>
        <w:t xml:space="preserve"> </w:t>
      </w:r>
      <w:r w:rsidR="00A628EE" w:rsidRPr="002B5AE7">
        <w:rPr>
          <w:rFonts w:ascii="Times New Roman" w:hAnsi="Times New Roman" w:cs="Times New Roman"/>
          <w:sz w:val="24"/>
          <w:szCs w:val="24"/>
        </w:rPr>
        <w:t xml:space="preserve">SGS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berkecimpung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perkayuan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24.63%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portepel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Perseroan. Pada November 2016 Bapak Amir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Sunarko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PT</w:t>
      </w:r>
      <w:r w:rsidR="003A0FED" w:rsidRPr="002B5AE7">
        <w:rPr>
          <w:rFonts w:ascii="Times New Roman" w:hAnsi="Times New Roman" w:cs="Times New Roman"/>
          <w:sz w:val="24"/>
          <w:szCs w:val="24"/>
        </w:rPr>
        <w:t xml:space="preserve"> </w:t>
      </w:r>
      <w:r w:rsidR="00A628EE" w:rsidRPr="002B5AE7">
        <w:rPr>
          <w:rFonts w:ascii="Times New Roman" w:hAnsi="Times New Roman" w:cs="Times New Roman"/>
          <w:sz w:val="24"/>
          <w:szCs w:val="24"/>
        </w:rPr>
        <w:t xml:space="preserve">SGS (24.63%) di Perseroan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Bursa </w:t>
      </w:r>
      <w:proofErr w:type="spellStart"/>
      <w:r w:rsidR="00A628EE" w:rsidRPr="002B5AE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628EE" w:rsidRPr="002B5AE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D929113" w14:textId="77777777" w:rsidR="00D07144" w:rsidRPr="005E01C5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E01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E01527" w:rsidRPr="005E01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01527" w:rsidRPr="005E01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Tirta</w:t>
      </w:r>
      <w:proofErr w:type="spellEnd"/>
      <w:r w:rsidR="00E01527" w:rsidRPr="005E01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Mahakam Resources </w:t>
      </w:r>
      <w:proofErr w:type="spellStart"/>
      <w:r w:rsidR="00E01527" w:rsidRPr="005E01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E01527" w:rsidRPr="005E01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(TIRT) </w:t>
      </w:r>
    </w:p>
    <w:p w14:paraId="7D8F7992" w14:textId="46408A85" w:rsidR="00E01527" w:rsidRPr="00D07144" w:rsidRDefault="00D07144" w:rsidP="00D07144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144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D07144">
        <w:rPr>
          <w:rFonts w:ascii="Times New Roman" w:hAnsi="Times New Roman" w:cs="Times New Roman"/>
          <w:sz w:val="24"/>
          <w:szCs w:val="24"/>
        </w:rPr>
        <w:t>Tirta</w:t>
      </w:r>
      <w:proofErr w:type="spellEnd"/>
      <w:r w:rsidRPr="00D07144">
        <w:rPr>
          <w:rFonts w:ascii="Times New Roman" w:hAnsi="Times New Roman" w:cs="Times New Roman"/>
          <w:sz w:val="24"/>
          <w:szCs w:val="24"/>
        </w:rPr>
        <w:t xml:space="preserve"> Mahakam Resources </w:t>
      </w:r>
      <w:proofErr w:type="spellStart"/>
      <w:r w:rsidRPr="00D07144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lapis dan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November 1983. Perusahaan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status PMA </w:t>
      </w:r>
      <w:proofErr w:type="spellStart"/>
      <w:r w:rsidR="00E01527" w:rsidRPr="00D071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01527" w:rsidRPr="00D07144">
        <w:rPr>
          <w:rFonts w:ascii="Times New Roman" w:hAnsi="Times New Roman" w:cs="Times New Roman"/>
          <w:sz w:val="24"/>
          <w:szCs w:val="24"/>
        </w:rPr>
        <w:t xml:space="preserve"> PMDN.</w:t>
      </w:r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Tirta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Mahakam Resources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(Perusahaan)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No. 245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22 April 1981 jo.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No. 14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1982,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Kartini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Muljadi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, SH.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Perusahaan 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oleh Menteri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Surat Keputusan No. Y.A 5/48/2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8 Mei 1982.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Dasar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No. 58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dan Dewan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Dasar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lastRenderedPageBreak/>
        <w:t>maksud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Lampiran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No. 95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2015 yang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No. 19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Baku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Usaha Indonesia (KBLI 2017)., yang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Leolin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Jayayanti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, SH.,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M.Kn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Menteri Hukum 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Surat No. AHU-0040044.AH.01.02.Tahun 2019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2019.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Surat Badan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No. 081/I/PMA/1981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1981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Indonesia No. B-13/Pres/3/1981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1981.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Modal (BKPM) No 63/ 1/IP/2013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5 September 2013,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PMA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PMDN.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lapis dan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dibulan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November 1983. Perusahaan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Bukuan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8EE" w:rsidRPr="00D07144"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 w:rsidR="00A628EE" w:rsidRPr="00D07144">
        <w:rPr>
          <w:rFonts w:ascii="Times New Roman" w:hAnsi="Times New Roman" w:cs="Times New Roman"/>
          <w:sz w:val="24"/>
          <w:szCs w:val="24"/>
        </w:rPr>
        <w:t>, Kalimantan Timur.</w:t>
      </w:r>
    </w:p>
    <w:p w14:paraId="02F1782D" w14:textId="77777777" w:rsidR="00BC12C4" w:rsidRPr="00BC12C4" w:rsidRDefault="003A0FED" w:rsidP="00264992">
      <w:pPr>
        <w:pStyle w:val="Heading4"/>
        <w:numPr>
          <w:ilvl w:val="3"/>
          <w:numId w:val="21"/>
        </w:numPr>
        <w:spacing w:line="480" w:lineRule="auto"/>
        <w:ind w:left="993" w:hanging="993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PT</w:t>
      </w:r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Indo </w:t>
      </w:r>
      <w:proofErr w:type="spellStart"/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Komoditi</w:t>
      </w:r>
      <w:proofErr w:type="spellEnd"/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Korpora</w:t>
      </w:r>
      <w:proofErr w:type="spellEnd"/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Tbk</w:t>
      </w:r>
      <w:proofErr w:type="spellEnd"/>
      <w:r w:rsidR="00E01527" w:rsidRPr="00BC12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(INCF) </w:t>
      </w:r>
    </w:p>
    <w:p w14:paraId="0487D4E5" w14:textId="1C4010B1" w:rsidR="00264992" w:rsidRPr="00BC12C4" w:rsidRDefault="00BC12C4" w:rsidP="00BC12C4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12C4">
        <w:rPr>
          <w:rFonts w:ascii="Times New Roman" w:hAnsi="Times New Roman" w:cs="Times New Roman"/>
          <w:sz w:val="24"/>
          <w:szCs w:val="24"/>
        </w:rPr>
        <w:t xml:space="preserve">PT Indo </w:t>
      </w:r>
      <w:proofErr w:type="spellStart"/>
      <w:r w:rsidRPr="00BC12C4">
        <w:rPr>
          <w:rFonts w:ascii="Times New Roman" w:hAnsi="Times New Roman" w:cs="Times New Roman"/>
          <w:sz w:val="24"/>
          <w:szCs w:val="24"/>
        </w:rPr>
        <w:t>Komoditi</w:t>
      </w:r>
      <w:proofErr w:type="spellEnd"/>
      <w:r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C4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C4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r w:rsidR="003A0FED" w:rsidRPr="00BC12C4">
        <w:rPr>
          <w:rFonts w:ascii="Times New Roman" w:hAnsi="Times New Roman" w:cs="Times New Roman"/>
          <w:sz w:val="24"/>
          <w:szCs w:val="24"/>
        </w:rPr>
        <w:t>PT</w:t>
      </w:r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Amstelco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r w:rsidR="003A0FED" w:rsidRPr="00BC12C4">
        <w:rPr>
          <w:rFonts w:ascii="Times New Roman" w:hAnsi="Times New Roman" w:cs="Times New Roman"/>
          <w:sz w:val="24"/>
          <w:szCs w:val="24"/>
        </w:rPr>
        <w:t>PT</w:t>
      </w:r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Sampit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27" w:rsidRPr="00BC12C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E01527" w:rsidRPr="00BC12C4">
        <w:rPr>
          <w:rFonts w:ascii="Times New Roman" w:hAnsi="Times New Roman" w:cs="Times New Roman"/>
          <w:sz w:val="24"/>
          <w:szCs w:val="24"/>
        </w:rPr>
        <w:t>.</w:t>
      </w:r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PT Indo Ayala Leasing Corporation dan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perseroan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di Jakarta Selatan. Perseroan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No. 125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1982,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No. 41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18 April 1983,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akta-akta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Frederik Alexander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Tumbuan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, SH,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di Jakarta, dan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oleh Menteri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Surat Keputusan No. C2-3535.HT.01.01.TH.83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3 </w:t>
      </w:r>
      <w:r w:rsidR="00747DA1" w:rsidRPr="00BC12C4">
        <w:rPr>
          <w:rFonts w:ascii="Times New Roman" w:hAnsi="Times New Roman" w:cs="Times New Roman"/>
          <w:sz w:val="24"/>
          <w:szCs w:val="24"/>
        </w:rPr>
        <w:lastRenderedPageBreak/>
        <w:t xml:space="preserve">Mei 1983, dan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Indonesia No. 40,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No. 501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18 Mei 1984.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Dasar Perseroan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No. 18, yang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Dedy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Pramono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, SH.,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M.Kn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11 November 2015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Rp 150.000.000.000,- (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Rupiah)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Rp 650.000.000.000,- (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lima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Rupiah),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disetor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Rp 38.367.416.900,- (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Rupiah)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Rp 168.367.416.900,- (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ratus Rupiah)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Utang Perseroan pada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Sinoasia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Holding Limited, dan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dan Dewan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Perseroan.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Menteri Hukum dan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Menkumham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”)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Surat Keputusan No. AHU-0946436.AH.01.02.TAHUN 2015 </w:t>
      </w:r>
      <w:proofErr w:type="spellStart"/>
      <w:r w:rsidR="00747DA1" w:rsidRPr="00BC12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7DA1" w:rsidRPr="00BC12C4">
        <w:rPr>
          <w:rFonts w:ascii="Times New Roman" w:hAnsi="Times New Roman" w:cs="Times New Roman"/>
          <w:sz w:val="24"/>
          <w:szCs w:val="24"/>
        </w:rPr>
        <w:t xml:space="preserve"> 23 November 2015.</w:t>
      </w:r>
    </w:p>
    <w:p w14:paraId="547E73FF" w14:textId="77777777" w:rsidR="00264992" w:rsidRPr="00264992" w:rsidRDefault="00264992" w:rsidP="00264992">
      <w:pPr>
        <w:rPr>
          <w:lang w:val="en-US"/>
        </w:rPr>
      </w:pPr>
    </w:p>
    <w:p w14:paraId="5604CDCB" w14:textId="703D0EDE" w:rsidR="00575FDB" w:rsidRDefault="00734746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Gambaran</w:t>
      </w:r>
      <w:r w:rsidR="00E71628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E71628">
        <w:rPr>
          <w:rFonts w:ascii="Times New Roman" w:hAnsi="Times New Roman" w:cs="Times New Roman"/>
          <w:b/>
          <w:bCs/>
          <w:color w:val="auto"/>
          <w:lang w:val="en-US"/>
        </w:rPr>
        <w:t>Penelitian</w:t>
      </w:r>
      <w:proofErr w:type="spellEnd"/>
    </w:p>
    <w:p w14:paraId="2821CC92" w14:textId="77777777" w:rsidR="007D2479" w:rsidRDefault="007D2479" w:rsidP="00B4433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Indonesia)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70D53A55" w14:textId="2F161CB0" w:rsidR="00B44330" w:rsidRPr="00E26598" w:rsidRDefault="006A6A6C" w:rsidP="00B4433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1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3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1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1E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3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4330">
        <w:rPr>
          <w:rFonts w:ascii="Times New Roman" w:hAnsi="Times New Roman" w:cs="Times New Roman"/>
          <w:sz w:val="24"/>
          <w:szCs w:val="24"/>
        </w:rPr>
        <w:t>K</w:t>
      </w:r>
      <w:r w:rsidR="00B44330" w:rsidRPr="00E26598">
        <w:rPr>
          <w:rFonts w:ascii="Times New Roman" w:hAnsi="Times New Roman" w:cs="Times New Roman"/>
          <w:sz w:val="24"/>
          <w:szCs w:val="24"/>
        </w:rPr>
        <w:t>riteria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330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44330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3F2BBFDF" w14:textId="65DE03C7" w:rsidR="00B44330" w:rsidRPr="00E26598" w:rsidRDefault="00B44330" w:rsidP="00B44330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E26598">
        <w:rPr>
          <w:rFonts w:ascii="Times New Roman" w:hAnsi="Times New Roman" w:cs="Times New Roman"/>
          <w:sz w:val="24"/>
          <w:szCs w:val="24"/>
        </w:rPr>
        <w:t>ercatat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486C2A" w14:textId="3F0AE58D" w:rsidR="00B44330" w:rsidRDefault="00B44330" w:rsidP="00B44330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18E826" w14:textId="009D00FF" w:rsidR="003D5A8F" w:rsidRPr="00B44330" w:rsidRDefault="00B44330" w:rsidP="00B44330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44330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15 (lima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4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2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B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5A8F" w:rsidRPr="00B44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5A8F" w:rsidRPr="00B4433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D5A8F" w:rsidRPr="00B44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5A8F" w:rsidRPr="00B4433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D5A8F" w:rsidRPr="00B443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8EC0FC" w14:textId="77777777" w:rsidR="003D5A8F" w:rsidRPr="009376AB" w:rsidRDefault="003D5A8F" w:rsidP="00B44330">
      <w:pPr>
        <w:pStyle w:val="ListParagraph"/>
        <w:numPr>
          <w:ilvl w:val="0"/>
          <w:numId w:val="2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keramik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porselen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8E72D0" w14:textId="77777777" w:rsidR="003D5A8F" w:rsidRPr="009376AB" w:rsidRDefault="003D5A8F" w:rsidP="00B44330">
      <w:pPr>
        <w:pStyle w:val="ListParagraph"/>
        <w:numPr>
          <w:ilvl w:val="0"/>
          <w:numId w:val="2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D78BA5" w14:textId="77777777" w:rsidR="003D5A8F" w:rsidRPr="009376AB" w:rsidRDefault="003D5A8F" w:rsidP="00B44330">
      <w:pPr>
        <w:pStyle w:val="ListParagraph"/>
        <w:numPr>
          <w:ilvl w:val="0"/>
          <w:numId w:val="2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6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154355" w14:textId="77777777" w:rsidR="003D5A8F" w:rsidRPr="009376AB" w:rsidRDefault="003D5A8F" w:rsidP="00B44330">
      <w:pPr>
        <w:pStyle w:val="ListParagraph"/>
        <w:numPr>
          <w:ilvl w:val="0"/>
          <w:numId w:val="2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palstik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3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C5009A" w14:textId="77777777" w:rsidR="003D5A8F" w:rsidRPr="009376AB" w:rsidRDefault="003D5A8F" w:rsidP="00B44330">
      <w:pPr>
        <w:pStyle w:val="ListParagraph"/>
        <w:numPr>
          <w:ilvl w:val="0"/>
          <w:numId w:val="2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4DCEC" w14:textId="47144D04" w:rsidR="003D5A8F" w:rsidRDefault="003D5A8F" w:rsidP="00B44330">
      <w:pPr>
        <w:pStyle w:val="ListParagraph"/>
        <w:numPr>
          <w:ilvl w:val="0"/>
          <w:numId w:val="2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lain-lain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DB610D" w14:textId="3FFB9F16" w:rsidR="00ED4872" w:rsidRPr="00ED4872" w:rsidRDefault="00ED4872" w:rsidP="00ED4872">
      <w:pPr>
        <w:spacing w:line="4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r w:rsidR="00E822DE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2D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D8C46CA" w14:textId="77777777" w:rsidR="003D5A8F" w:rsidRPr="002F48B1" w:rsidRDefault="003D5A8F" w:rsidP="003D5A8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IV.1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Sampel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Perusahaan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Sektor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industri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Dasar dan Kimia yang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terdaftar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Bursa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Efek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Indonesia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2016-2021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8"/>
        <w:gridCol w:w="2573"/>
        <w:gridCol w:w="1277"/>
        <w:gridCol w:w="4504"/>
      </w:tblGrid>
      <w:tr w:rsidR="003D5A8F" w:rsidRPr="002F48B1" w14:paraId="0E164AC7" w14:textId="77777777" w:rsidTr="002B0500">
        <w:tc>
          <w:tcPr>
            <w:tcW w:w="5000" w:type="pct"/>
            <w:gridSpan w:val="4"/>
          </w:tcPr>
          <w:p w14:paraId="1984935E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Daftar Perusahaan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Sektor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Industri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Dasar dan Kimia</w:t>
            </w:r>
          </w:p>
        </w:tc>
      </w:tr>
      <w:tr w:rsidR="003D5A8F" w:rsidRPr="002F48B1" w14:paraId="13C5AF7B" w14:textId="77777777" w:rsidTr="002B0500">
        <w:tc>
          <w:tcPr>
            <w:tcW w:w="519" w:type="pct"/>
            <w:vAlign w:val="center"/>
          </w:tcPr>
          <w:p w14:paraId="083F6EAA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380" w:type="pct"/>
          </w:tcPr>
          <w:p w14:paraId="04853658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Subsektor</w:t>
            </w:r>
            <w:proofErr w:type="spellEnd"/>
          </w:p>
        </w:tc>
        <w:tc>
          <w:tcPr>
            <w:tcW w:w="685" w:type="pct"/>
            <w:vAlign w:val="center"/>
          </w:tcPr>
          <w:p w14:paraId="0582857F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Kode</w:t>
            </w:r>
          </w:p>
        </w:tc>
        <w:tc>
          <w:tcPr>
            <w:tcW w:w="2417" w:type="pct"/>
            <w:vAlign w:val="center"/>
          </w:tcPr>
          <w:p w14:paraId="7B47FD19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</w:tr>
      <w:tr w:rsidR="003D5A8F" w14:paraId="6A864AF9" w14:textId="77777777" w:rsidTr="002B0500">
        <w:tc>
          <w:tcPr>
            <w:tcW w:w="519" w:type="pct"/>
          </w:tcPr>
          <w:p w14:paraId="21E9BDDA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380" w:type="pct"/>
            <w:vMerge w:val="restart"/>
          </w:tcPr>
          <w:p w14:paraId="1F252891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Keramik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Kaca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Porselen</w:t>
            </w:r>
            <w:proofErr w:type="spellEnd"/>
          </w:p>
        </w:tc>
        <w:tc>
          <w:tcPr>
            <w:tcW w:w="685" w:type="pct"/>
          </w:tcPr>
          <w:p w14:paraId="6F920A61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AMFG</w:t>
            </w:r>
          </w:p>
        </w:tc>
        <w:tc>
          <w:tcPr>
            <w:tcW w:w="2417" w:type="pct"/>
          </w:tcPr>
          <w:p w14:paraId="50A524EC" w14:textId="30005D2E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Asahimas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Flat Glass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08E7C8D9" w14:textId="77777777" w:rsidTr="002B0500">
        <w:tc>
          <w:tcPr>
            <w:tcW w:w="519" w:type="pct"/>
          </w:tcPr>
          <w:p w14:paraId="3CF7191C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380" w:type="pct"/>
            <w:vMerge/>
          </w:tcPr>
          <w:p w14:paraId="6E8B1B2A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699E0BD9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KIAS</w:t>
            </w:r>
          </w:p>
        </w:tc>
        <w:tc>
          <w:tcPr>
            <w:tcW w:w="2417" w:type="pct"/>
          </w:tcPr>
          <w:p w14:paraId="6F396BC1" w14:textId="19037425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Keramika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Assosiasi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4F63B9D1" w14:textId="77777777" w:rsidTr="002B0500">
        <w:tc>
          <w:tcPr>
            <w:tcW w:w="519" w:type="pct"/>
          </w:tcPr>
          <w:p w14:paraId="3F10D884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380" w:type="pct"/>
          </w:tcPr>
          <w:p w14:paraId="044F15D3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Kimia</w:t>
            </w:r>
          </w:p>
        </w:tc>
        <w:tc>
          <w:tcPr>
            <w:tcW w:w="685" w:type="pct"/>
          </w:tcPr>
          <w:p w14:paraId="6904F945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ADMG</w:t>
            </w:r>
          </w:p>
        </w:tc>
        <w:tc>
          <w:tcPr>
            <w:tcW w:w="2417" w:type="pct"/>
          </w:tcPr>
          <w:p w14:paraId="7EDBC00D" w14:textId="348B7F64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Polychem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6985892D" w14:textId="77777777" w:rsidTr="002B0500">
        <w:tc>
          <w:tcPr>
            <w:tcW w:w="519" w:type="pct"/>
          </w:tcPr>
          <w:p w14:paraId="3FDC73F2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380" w:type="pct"/>
            <w:vMerge w:val="restart"/>
          </w:tcPr>
          <w:p w14:paraId="0758EFC5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Sejenisnya</w:t>
            </w:r>
            <w:proofErr w:type="spellEnd"/>
          </w:p>
        </w:tc>
        <w:tc>
          <w:tcPr>
            <w:tcW w:w="685" w:type="pct"/>
          </w:tcPr>
          <w:p w14:paraId="79F31EC5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KRAS</w:t>
            </w:r>
          </w:p>
        </w:tc>
        <w:tc>
          <w:tcPr>
            <w:tcW w:w="2417" w:type="pct"/>
          </w:tcPr>
          <w:p w14:paraId="7EF07355" w14:textId="66A2F1E6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 Krakatau Steel (Persero)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780750EA" w14:textId="77777777" w:rsidTr="002B0500">
        <w:tc>
          <w:tcPr>
            <w:tcW w:w="519" w:type="pct"/>
          </w:tcPr>
          <w:p w14:paraId="42EC6295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380" w:type="pct"/>
            <w:vMerge/>
          </w:tcPr>
          <w:p w14:paraId="018EC2CD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5CD3EFB0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GDST</w:t>
            </w:r>
          </w:p>
        </w:tc>
        <w:tc>
          <w:tcPr>
            <w:tcW w:w="2417" w:type="pct"/>
          </w:tcPr>
          <w:p w14:paraId="499F1C23" w14:textId="1426E4D7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Gunawan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Dianjaya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Steel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262DE3F9" w14:textId="77777777" w:rsidTr="002B0500">
        <w:tc>
          <w:tcPr>
            <w:tcW w:w="519" w:type="pct"/>
          </w:tcPr>
          <w:p w14:paraId="4BB817EB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380" w:type="pct"/>
            <w:vMerge/>
          </w:tcPr>
          <w:p w14:paraId="707A7666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251D13B4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CTBN</w:t>
            </w:r>
          </w:p>
        </w:tc>
        <w:tc>
          <w:tcPr>
            <w:tcW w:w="2417" w:type="pct"/>
          </w:tcPr>
          <w:p w14:paraId="6789A28D" w14:textId="3325CF3E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 </w:t>
            </w:r>
            <w:r w:rsidRPr="001E52D6">
              <w:rPr>
                <w:rFonts w:ascii="Times New Roman" w:hAnsi="Times New Roman" w:cs="Times New Roman"/>
                <w:lang w:val="en-US"/>
              </w:rPr>
              <w:t xml:space="preserve">Citra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Tubindo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069FF734" w14:textId="77777777" w:rsidTr="002B0500">
        <w:tc>
          <w:tcPr>
            <w:tcW w:w="519" w:type="pct"/>
          </w:tcPr>
          <w:p w14:paraId="498F9EC0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lastRenderedPageBreak/>
              <w:t>7.</w:t>
            </w:r>
          </w:p>
        </w:tc>
        <w:tc>
          <w:tcPr>
            <w:tcW w:w="1380" w:type="pct"/>
            <w:vMerge/>
          </w:tcPr>
          <w:p w14:paraId="25C9F6AE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50093D43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ALMI</w:t>
            </w:r>
          </w:p>
        </w:tc>
        <w:tc>
          <w:tcPr>
            <w:tcW w:w="2417" w:type="pct"/>
          </w:tcPr>
          <w:p w14:paraId="0D801B32" w14:textId="4C8C4DC5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Alumindo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Light Metal Industry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71180E9E" w14:textId="77777777" w:rsidTr="002B0500">
        <w:tc>
          <w:tcPr>
            <w:tcW w:w="519" w:type="pct"/>
          </w:tcPr>
          <w:p w14:paraId="41DB358C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380" w:type="pct"/>
            <w:vMerge/>
          </w:tcPr>
          <w:p w14:paraId="11A2036B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0F69E542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BAJA</w:t>
            </w:r>
          </w:p>
        </w:tc>
        <w:tc>
          <w:tcPr>
            <w:tcW w:w="2417" w:type="pct"/>
          </w:tcPr>
          <w:p w14:paraId="6C8CD018" w14:textId="3D906D03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Saranacentral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Bajatama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4A45BB88" w14:textId="77777777" w:rsidTr="002B0500">
        <w:tc>
          <w:tcPr>
            <w:tcW w:w="519" w:type="pct"/>
          </w:tcPr>
          <w:p w14:paraId="42F5C4CD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380" w:type="pct"/>
            <w:vMerge/>
          </w:tcPr>
          <w:p w14:paraId="698BBA9F" w14:textId="77777777" w:rsidR="003D5A8F" w:rsidRPr="002F48B1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308350E9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LSMH</w:t>
            </w:r>
          </w:p>
        </w:tc>
        <w:tc>
          <w:tcPr>
            <w:tcW w:w="2417" w:type="pct"/>
          </w:tcPr>
          <w:p w14:paraId="38C3CABE" w14:textId="68B2DBE3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Lionmesh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Prima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6406C80E" w14:textId="77777777" w:rsidTr="002B0500">
        <w:tc>
          <w:tcPr>
            <w:tcW w:w="519" w:type="pct"/>
          </w:tcPr>
          <w:p w14:paraId="70382872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1380" w:type="pct"/>
            <w:vMerge w:val="restart"/>
          </w:tcPr>
          <w:p w14:paraId="357487AA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Kemasan</w:t>
            </w:r>
            <w:proofErr w:type="spellEnd"/>
          </w:p>
        </w:tc>
        <w:tc>
          <w:tcPr>
            <w:tcW w:w="685" w:type="pct"/>
          </w:tcPr>
          <w:p w14:paraId="52854E1D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BRNA</w:t>
            </w:r>
          </w:p>
        </w:tc>
        <w:tc>
          <w:tcPr>
            <w:tcW w:w="2417" w:type="pct"/>
          </w:tcPr>
          <w:p w14:paraId="5F1281B4" w14:textId="30AA7E77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 Berlina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0162D5A4" w14:textId="77777777" w:rsidTr="002B0500">
        <w:tc>
          <w:tcPr>
            <w:tcW w:w="519" w:type="pct"/>
          </w:tcPr>
          <w:p w14:paraId="7335AFFA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1380" w:type="pct"/>
            <w:vMerge/>
          </w:tcPr>
          <w:p w14:paraId="6DAD036D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2169654F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FPNI</w:t>
            </w:r>
          </w:p>
        </w:tc>
        <w:tc>
          <w:tcPr>
            <w:tcW w:w="2417" w:type="pct"/>
          </w:tcPr>
          <w:p w14:paraId="63605326" w14:textId="17C25D65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 Lotte Chemical Titan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6CB3DA69" w14:textId="77777777" w:rsidTr="002B0500">
        <w:tc>
          <w:tcPr>
            <w:tcW w:w="519" w:type="pct"/>
          </w:tcPr>
          <w:p w14:paraId="47AA9938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1380" w:type="pct"/>
            <w:vMerge/>
          </w:tcPr>
          <w:p w14:paraId="76C4CC5D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76E0FAFA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YPAS</w:t>
            </w:r>
          </w:p>
        </w:tc>
        <w:tc>
          <w:tcPr>
            <w:tcW w:w="2417" w:type="pct"/>
          </w:tcPr>
          <w:p w14:paraId="300937F1" w14:textId="1685AE15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Yanaprima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Hastapersada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50B789AB" w14:textId="77777777" w:rsidTr="002B0500">
        <w:tc>
          <w:tcPr>
            <w:tcW w:w="519" w:type="pct"/>
          </w:tcPr>
          <w:p w14:paraId="4ACEE162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1380" w:type="pct"/>
            <w:vMerge w:val="restart"/>
          </w:tcPr>
          <w:p w14:paraId="7DA95486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Kayu</w:t>
            </w:r>
          </w:p>
        </w:tc>
        <w:tc>
          <w:tcPr>
            <w:tcW w:w="685" w:type="pct"/>
          </w:tcPr>
          <w:p w14:paraId="641C9668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SULI</w:t>
            </w:r>
          </w:p>
        </w:tc>
        <w:tc>
          <w:tcPr>
            <w:tcW w:w="2417" w:type="pct"/>
          </w:tcPr>
          <w:p w14:paraId="37C30C31" w14:textId="21740C8F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 SLJ Global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4F9AABCA" w14:textId="77777777" w:rsidTr="002B0500">
        <w:tc>
          <w:tcPr>
            <w:tcW w:w="519" w:type="pct"/>
          </w:tcPr>
          <w:p w14:paraId="2C29451B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1380" w:type="pct"/>
            <w:vMerge/>
          </w:tcPr>
          <w:p w14:paraId="464CEA6F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0FCA850F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TIRT</w:t>
            </w:r>
          </w:p>
        </w:tc>
        <w:tc>
          <w:tcPr>
            <w:tcW w:w="2417" w:type="pct"/>
          </w:tcPr>
          <w:p w14:paraId="675F5708" w14:textId="7C1294E0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Tirta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Mahakam Resources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3D5A8F" w14:paraId="59640BAB" w14:textId="77777777" w:rsidTr="002B0500">
        <w:tc>
          <w:tcPr>
            <w:tcW w:w="519" w:type="pct"/>
          </w:tcPr>
          <w:p w14:paraId="7BBD5512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1380" w:type="pct"/>
          </w:tcPr>
          <w:p w14:paraId="29759AF0" w14:textId="77777777" w:rsidR="003D5A8F" w:rsidRDefault="003D5A8F" w:rsidP="002B05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Lain-lain</w:t>
            </w:r>
          </w:p>
        </w:tc>
        <w:tc>
          <w:tcPr>
            <w:tcW w:w="685" w:type="pct"/>
          </w:tcPr>
          <w:p w14:paraId="1FC5A55B" w14:textId="77777777" w:rsidR="003D5A8F" w:rsidRPr="002F48B1" w:rsidRDefault="003D5A8F" w:rsidP="002B0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INCF</w:t>
            </w:r>
          </w:p>
        </w:tc>
        <w:tc>
          <w:tcPr>
            <w:tcW w:w="2417" w:type="pct"/>
          </w:tcPr>
          <w:p w14:paraId="7C65686D" w14:textId="6FE647CA" w:rsidR="003D5A8F" w:rsidRPr="002F48B1" w:rsidRDefault="003D5A8F" w:rsidP="002B05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 </w:t>
            </w:r>
            <w:r w:rsidRPr="004D7678">
              <w:rPr>
                <w:rFonts w:ascii="Times New Roman" w:hAnsi="Times New Roman" w:cs="Times New Roman"/>
                <w:lang w:val="en-US"/>
              </w:rPr>
              <w:t xml:space="preserve">Indo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Komoditi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Korpora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</w:tbl>
    <w:p w14:paraId="286BDE43" w14:textId="08B2E92E" w:rsidR="009214CB" w:rsidRDefault="003D5A8F" w:rsidP="00F52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  <w:r w:rsidR="009214CB" w:rsidRPr="00921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A83252" w14:textId="77777777" w:rsidR="009135D9" w:rsidRPr="009214CB" w:rsidRDefault="009135D9" w:rsidP="009135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160FC" w14:textId="1156992F" w:rsidR="00466531" w:rsidRPr="00BF10F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Hasil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Penelitian</w:t>
      </w:r>
      <w:proofErr w:type="spellEnd"/>
    </w:p>
    <w:p w14:paraId="4265011F" w14:textId="4CB89C0A" w:rsidR="00466531" w:rsidRPr="00BF10F4" w:rsidRDefault="00466531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Analisis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Deskriptif</w:t>
      </w:r>
      <w:proofErr w:type="spellEnd"/>
    </w:p>
    <w:p w14:paraId="45D6FE9D" w14:textId="300B62E8" w:rsidR="00071E02" w:rsidRDefault="00394629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6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rata-rata (</w:t>
      </w:r>
      <w:r w:rsidRPr="00394629">
        <w:rPr>
          <w:rFonts w:ascii="Times New Roman" w:hAnsi="Times New Roman" w:cs="Times New Roman"/>
          <w:i/>
          <w:sz w:val="24"/>
          <w:szCs w:val="24"/>
        </w:rPr>
        <w:t>mean</w:t>
      </w:r>
      <w:r w:rsidRPr="003946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(</w:t>
      </w:r>
      <w:r w:rsidRPr="00394629">
        <w:rPr>
          <w:rFonts w:ascii="Times New Roman" w:hAnsi="Times New Roman" w:cs="Times New Roman"/>
          <w:i/>
          <w:sz w:val="24"/>
          <w:szCs w:val="24"/>
        </w:rPr>
        <w:t>standard deviation</w:t>
      </w:r>
      <w:r w:rsidRPr="003946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maksimu</w:t>
      </w:r>
      <w:r w:rsidR="00725C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r w:rsidRPr="00394629">
        <w:rPr>
          <w:rFonts w:ascii="Times New Roman" w:hAnsi="Times New Roman" w:cs="Times New Roman"/>
          <w:sz w:val="24"/>
          <w:szCs w:val="24"/>
        </w:rPr>
        <w:t>minimum.</w:t>
      </w:r>
    </w:p>
    <w:p w14:paraId="4524B908" w14:textId="4AAF8D70" w:rsidR="00112D45" w:rsidRPr="00112D45" w:rsidRDefault="00112D45" w:rsidP="00112D45">
      <w:pPr>
        <w:spacing w:line="24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IV.</w:t>
      </w:r>
      <w:r w:rsidR="0028706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3"/>
        <w:gridCol w:w="396"/>
        <w:gridCol w:w="1165"/>
        <w:gridCol w:w="1208"/>
        <w:gridCol w:w="972"/>
        <w:gridCol w:w="1618"/>
      </w:tblGrid>
      <w:tr w:rsidR="00870FF2" w:rsidRPr="00870FF2" w14:paraId="6F6E8BBE" w14:textId="77777777" w:rsidTr="00986B09">
        <w:trPr>
          <w:cantSplit/>
        </w:trPr>
        <w:tc>
          <w:tcPr>
            <w:tcW w:w="5000" w:type="pct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F2A9F2" w14:textId="204B3B5B" w:rsidR="00071E02" w:rsidRPr="00870FF2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b/>
                <w:bCs/>
                <w:lang w:val="en-US"/>
              </w:rPr>
              <w:t>Des</w:t>
            </w:r>
            <w:r w:rsidR="001447E6" w:rsidRPr="00870FF2">
              <w:rPr>
                <w:rFonts w:ascii="Times New Romana" w:hAnsi="Times New Romana" w:cs="Arial"/>
                <w:b/>
                <w:bCs/>
                <w:lang w:val="en-US"/>
              </w:rPr>
              <w:t>c</w:t>
            </w:r>
            <w:r w:rsidRPr="00870FF2">
              <w:rPr>
                <w:rFonts w:ascii="Times New Romana" w:hAnsi="Times New Romana" w:cs="Arial"/>
                <w:b/>
                <w:bCs/>
                <w:lang w:val="en-US"/>
              </w:rPr>
              <w:t>ripti</w:t>
            </w:r>
            <w:r w:rsidR="001447E6" w:rsidRPr="00870FF2">
              <w:rPr>
                <w:rFonts w:ascii="Times New Romana" w:hAnsi="Times New Romana" w:cs="Arial"/>
                <w:b/>
                <w:bCs/>
                <w:lang w:val="en-US"/>
              </w:rPr>
              <w:t>ve Statistic</w:t>
            </w:r>
          </w:p>
        </w:tc>
      </w:tr>
      <w:tr w:rsidR="00870FF2" w:rsidRPr="00870FF2" w14:paraId="2BED3279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EF3E843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E225670" w14:textId="77777777" w:rsidR="00071E02" w:rsidRPr="00870FF2" w:rsidRDefault="00071E02" w:rsidP="00206B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N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65AE985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Minimum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8BD5D45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Maximum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3B0049E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Mean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2AE1876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Std. Deviation</w:t>
            </w:r>
          </w:p>
        </w:tc>
      </w:tr>
      <w:tr w:rsidR="00870FF2" w:rsidRPr="00870FF2" w14:paraId="421DEA1B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45B609FF" w14:textId="0BB0FAEB" w:rsidR="00071E02" w:rsidRPr="00870FF2" w:rsidRDefault="00265EF4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 xml:space="preserve">Return </w:t>
            </w:r>
            <w:r>
              <w:rPr>
                <w:rFonts w:ascii="Times New Romana" w:hAnsi="Times New Romana" w:cs="Arial"/>
                <w:i/>
                <w:iCs/>
                <w:lang w:val="en-US"/>
              </w:rPr>
              <w:t>o</w:t>
            </w: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>n Equity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</w:t>
            </w:r>
            <w:r w:rsidR="00DE40F8" w:rsidRPr="00870FF2">
              <w:rPr>
                <w:rFonts w:ascii="Times New Romana" w:hAnsi="Times New Romana" w:cs="Arial"/>
                <w:lang w:val="en-US"/>
              </w:rPr>
              <w:t>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ROE</w:t>
            </w:r>
            <w:r w:rsidR="00DE40F8"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73AA64C2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90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6AE8609B" w14:textId="38D998AF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-136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44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6FCF1D81" w14:textId="36824DE9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55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77ABE029" w14:textId="427FA434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5530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17C3804E" w14:textId="78EDAFF8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14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38460</w:t>
            </w:r>
          </w:p>
        </w:tc>
      </w:tr>
      <w:tr w:rsidR="00870FF2" w:rsidRPr="00870FF2" w14:paraId="58D5CB15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10AAE960" w14:textId="32B76E2E" w:rsidR="00071E02" w:rsidRPr="00870FF2" w:rsidRDefault="00265EF4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>Quick Ratio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</w:t>
            </w:r>
            <w:r w:rsidR="00DE40F8" w:rsidRPr="00870FF2">
              <w:rPr>
                <w:rFonts w:ascii="Times New Romana" w:hAnsi="Times New Romana" w:cs="Arial"/>
                <w:lang w:val="en-US"/>
              </w:rPr>
              <w:t>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QR</w:t>
            </w:r>
            <w:r w:rsidR="00DE40F8"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07C7BA01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90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14377FB3" w14:textId="3EA826D6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07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302AA682" w14:textId="01327855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3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46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6F4290B5" w14:textId="1998EED4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8613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67B65488" w14:textId="7EC736BB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73063</w:t>
            </w:r>
          </w:p>
        </w:tc>
      </w:tr>
      <w:tr w:rsidR="00870FF2" w:rsidRPr="00870FF2" w14:paraId="23AA086D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1CDCD121" w14:textId="50B61EE1" w:rsidR="00071E02" w:rsidRPr="00870FF2" w:rsidRDefault="00265EF4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 xml:space="preserve">Debt </w:t>
            </w:r>
            <w:r>
              <w:rPr>
                <w:rFonts w:ascii="Times New Romana" w:hAnsi="Times New Romana" w:cs="Arial"/>
                <w:i/>
                <w:iCs/>
                <w:lang w:val="en-US"/>
              </w:rPr>
              <w:t>t</w:t>
            </w: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>o Equity Ratio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</w:t>
            </w:r>
            <w:r w:rsidR="00DE40F8" w:rsidRPr="00870FF2">
              <w:rPr>
                <w:rFonts w:ascii="Times New Romana" w:hAnsi="Times New Romana" w:cs="Arial"/>
                <w:lang w:val="en-US"/>
              </w:rPr>
              <w:t>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DER</w:t>
            </w:r>
            <w:r w:rsidR="00DE40F8"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5E4F9310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90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2DC9AFDE" w14:textId="55DD55A0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-7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18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2D6CB66F" w14:textId="73926F5A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786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93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3E9F918C" w14:textId="292D6EEF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9244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0A9F7DCE" w14:textId="017D2972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83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31041</w:t>
            </w:r>
          </w:p>
        </w:tc>
      </w:tr>
      <w:tr w:rsidR="00870FF2" w:rsidRPr="00870FF2" w14:paraId="5FB3844B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4D12071A" w14:textId="543DBE6A" w:rsidR="00071E02" w:rsidRPr="00870FF2" w:rsidRDefault="004D5A73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proofErr w:type="spellStart"/>
            <w:r>
              <w:rPr>
                <w:rFonts w:ascii="Times New Romana" w:hAnsi="Times New Romana" w:cs="Arial"/>
                <w:lang w:val="en-US"/>
              </w:rPr>
              <w:t>I</w:t>
            </w:r>
            <w:r w:rsidR="00CE1B64" w:rsidRPr="00870FF2">
              <w:rPr>
                <w:rFonts w:ascii="Times New Romana" w:hAnsi="Times New Romana" w:cs="Arial"/>
                <w:lang w:val="en-US"/>
              </w:rPr>
              <w:t>ndeks</w:t>
            </w:r>
            <w:proofErr w:type="spellEnd"/>
            <w:r w:rsidR="00CE1B64" w:rsidRPr="00870FF2">
              <w:rPr>
                <w:rFonts w:ascii="Times New Romana" w:hAnsi="Times New Romana" w:cs="Arial"/>
                <w:lang w:val="en-US"/>
              </w:rPr>
              <w:t xml:space="preserve"> </w:t>
            </w:r>
            <w:r w:rsidR="00CE1B64" w:rsidRPr="00870FF2">
              <w:rPr>
                <w:rFonts w:ascii="Times New Romana" w:hAnsi="Times New Romana" w:cs="Arial"/>
                <w:i/>
                <w:iCs/>
                <w:lang w:val="en-US"/>
              </w:rPr>
              <w:t>financial distress</w:t>
            </w:r>
            <w:r w:rsidR="00CE1B64" w:rsidRPr="00870FF2">
              <w:rPr>
                <w:rFonts w:ascii="Times New Romana" w:hAnsi="Times New Romana" w:cs="Arial"/>
                <w:lang w:val="en-US"/>
              </w:rPr>
              <w:t xml:space="preserve"> 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ZSCORE1</w:t>
            </w:r>
            <w:r w:rsidR="00CE1B64"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47A7518D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79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78F077A5" w14:textId="3066CB9F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-4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51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3C2AE496" w14:textId="0BBC9C72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79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54901AD8" w14:textId="67062C35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4453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3762ADD5" w14:textId="36501921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95750</w:t>
            </w:r>
          </w:p>
        </w:tc>
      </w:tr>
      <w:tr w:rsidR="00870FF2" w:rsidRPr="00870FF2" w14:paraId="424FB89B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04E708C4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Valid N (listwise)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2E4800AD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79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340349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6EC2CA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338CDD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F74645" w14:textId="4C77ACFB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</w:tr>
    </w:tbl>
    <w:p w14:paraId="614717E7" w14:textId="7040C17C" w:rsidR="00394629" w:rsidRDefault="00177652" w:rsidP="00986B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>, 2022</w:t>
      </w:r>
    </w:p>
    <w:p w14:paraId="1F98F22A" w14:textId="3C4862A1" w:rsidR="00986B09" w:rsidRDefault="00DE40F8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IV.3</w:t>
      </w:r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894" w:rsidRPr="00216328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16328">
        <w:rPr>
          <w:rFonts w:ascii="Times New Roman" w:hAnsi="Times New Roman" w:cs="Times New Roman"/>
          <w:sz w:val="24"/>
          <w:szCs w:val="24"/>
          <w:lang w:val="en-US"/>
        </w:rPr>
        <w:t>Z-Score</w:t>
      </w:r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6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7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84B6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84B6D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7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</w:t>
      </w:r>
      <w:r w:rsidR="0057413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74137" w:rsidRPr="00AF425A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</w:t>
      </w:r>
      <w:r w:rsidR="0057413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0,4453. Nilai rata-rata 0,4453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="00A271D6" w:rsidRPr="004C17C3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="00A271D6" w:rsidRPr="004C17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271D6" w:rsidRPr="004C17C3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="00A271D6" w:rsidRPr="004C17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271D6" w:rsidRPr="004C17C3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Hal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9195B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="0059195B" w:rsidRPr="00FF03CF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9195B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0,95750.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ilai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346002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236C68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8295E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70410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5CE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-4,51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lastRenderedPageBreak/>
        <w:t>indeks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B154F6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5CE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1,79.</w:t>
      </w:r>
      <w:r w:rsidR="00986B09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</w:p>
    <w:p w14:paraId="243FBD38" w14:textId="36F6DE98" w:rsidR="00986B09" w:rsidRDefault="0087667E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="007269AA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7269AA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(ROE)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362" w:rsidRPr="00112D45">
        <w:rPr>
          <w:rFonts w:ascii="Times New Romana" w:hAnsi="Times New Romana" w:cs="Arial"/>
          <w:color w:val="010205"/>
          <w:lang w:val="en-US"/>
        </w:rPr>
        <w:t>11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9244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4F7362" w:rsidRPr="00112D45">
        <w:rPr>
          <w:rFonts w:ascii="Times New Romana" w:hAnsi="Times New Romana" w:cs="Arial"/>
          <w:color w:val="010205"/>
          <w:lang w:val="en-US"/>
        </w:rPr>
        <w:t>11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9244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BD546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D546D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46F24" w:rsidRPr="00A46F24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437FE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96E05" w:rsidRPr="00112D45">
        <w:rPr>
          <w:rFonts w:ascii="Times New Romana" w:hAnsi="Times New Romana" w:cs="Arial"/>
          <w:color w:val="010205"/>
          <w:lang w:val="en-US"/>
        </w:rPr>
        <w:t>14</w:t>
      </w:r>
      <w:r w:rsidR="00396E05">
        <w:rPr>
          <w:rFonts w:ascii="Times New Romana" w:hAnsi="Times New Romana" w:cs="Arial"/>
          <w:color w:val="010205"/>
          <w:lang w:val="en-US"/>
        </w:rPr>
        <w:t>,</w:t>
      </w:r>
      <w:r w:rsidR="00396E05" w:rsidRPr="00112D45">
        <w:rPr>
          <w:rFonts w:ascii="Times New Romana" w:hAnsi="Times New Romana" w:cs="Arial"/>
          <w:color w:val="010205"/>
          <w:lang w:val="en-US"/>
        </w:rPr>
        <w:t>38460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</w:t>
      </w:r>
      <w:r w:rsid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u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rn on equity</w:t>
      </w:r>
      <w:r w:rsidR="00437FE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22113E" w:rsidRPr="0022113E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22113E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09685F" w:rsidRPr="00112D45">
        <w:rPr>
          <w:rFonts w:ascii="Times New Romana" w:hAnsi="Times New Romana" w:cs="Arial"/>
          <w:color w:val="010205"/>
          <w:lang w:val="en-US"/>
        </w:rPr>
        <w:t>-136</w:t>
      </w:r>
      <w:r w:rsidR="0009685F">
        <w:rPr>
          <w:rFonts w:ascii="Times New Romana" w:hAnsi="Times New Romana" w:cs="Arial"/>
          <w:color w:val="010205"/>
          <w:lang w:val="en-US"/>
        </w:rPr>
        <w:t>,</w:t>
      </w:r>
      <w:r w:rsidR="0009685F" w:rsidRPr="00112D45">
        <w:rPr>
          <w:rFonts w:ascii="Times New Romana" w:hAnsi="Times New Romana" w:cs="Arial"/>
          <w:color w:val="010205"/>
          <w:lang w:val="en-US"/>
        </w:rPr>
        <w:t>44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D11296" w:rsidRPr="00D1129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09685F" w:rsidRPr="00112D45">
        <w:rPr>
          <w:rFonts w:ascii="Times New Romana" w:hAnsi="Times New Romana" w:cs="Arial"/>
          <w:color w:val="010205"/>
          <w:lang w:val="en-US"/>
        </w:rPr>
        <w:t>1</w:t>
      </w:r>
      <w:r w:rsidR="0009685F">
        <w:rPr>
          <w:rFonts w:ascii="Times New Romana" w:hAnsi="Times New Romana" w:cs="Arial"/>
          <w:color w:val="010205"/>
          <w:lang w:val="en-US"/>
        </w:rPr>
        <w:t>,</w:t>
      </w:r>
      <w:r w:rsidR="0009685F" w:rsidRPr="00112D45">
        <w:rPr>
          <w:rFonts w:ascii="Times New Romana" w:hAnsi="Times New Romana" w:cs="Arial"/>
          <w:color w:val="010205"/>
          <w:lang w:val="en-US"/>
        </w:rPr>
        <w:t>55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2C85BEBF" w14:textId="47695F68" w:rsidR="00986B09" w:rsidRDefault="001667B9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="00D05A7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</w:t>
      </w:r>
      <w:r w:rsidR="00D05A78">
        <w:rPr>
          <w:rFonts w:ascii="Times New Roman" w:hAnsi="Times New Roman" w:cs="Times New Roman"/>
          <w:color w:val="010205"/>
          <w:sz w:val="24"/>
          <w:szCs w:val="24"/>
          <w:lang w:val="en-US"/>
        </w:rPr>
        <w:t>QR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)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934EF4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AB1">
        <w:rPr>
          <w:rFonts w:ascii="Times New Romana" w:hAnsi="Times New Romana" w:cs="Arial"/>
          <w:color w:val="010205"/>
          <w:lang w:val="en-US"/>
        </w:rPr>
        <w:t>0,</w:t>
      </w:r>
      <w:r w:rsidR="00815AB1" w:rsidRPr="00112D45">
        <w:rPr>
          <w:rFonts w:ascii="Times New Romana" w:hAnsi="Times New Romana" w:cs="Arial"/>
          <w:color w:val="010205"/>
          <w:lang w:val="en-US"/>
        </w:rPr>
        <w:t>8613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815AB1">
        <w:rPr>
          <w:rFonts w:ascii="Times New Romana" w:hAnsi="Times New Romana" w:cs="Arial"/>
          <w:color w:val="010205"/>
          <w:lang w:val="en-US"/>
        </w:rPr>
        <w:t>0,</w:t>
      </w:r>
      <w:r w:rsidR="00815AB1" w:rsidRPr="00112D45">
        <w:rPr>
          <w:rFonts w:ascii="Times New Romana" w:hAnsi="Times New Romana" w:cs="Arial"/>
          <w:color w:val="010205"/>
          <w:lang w:val="en-US"/>
        </w:rPr>
        <w:t>8613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513461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13461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D8790E" w:rsidRPr="00A11CC8">
        <w:rPr>
          <w:rFonts w:ascii="Times New Roman" w:hAnsi="Times New Roman" w:cs="Times New Roman"/>
          <w:color w:val="FF0000"/>
          <w:sz w:val="24"/>
          <w:szCs w:val="24"/>
          <w:lang w:val="en-US"/>
        </w:rPr>
        <w:t>minim</w:t>
      </w:r>
      <w:r w:rsidR="00A11CC8">
        <w:rPr>
          <w:rFonts w:ascii="Times New Roman" w:hAnsi="Times New Roman" w:cs="Times New Roman"/>
          <w:color w:val="FF0000"/>
          <w:sz w:val="24"/>
          <w:szCs w:val="24"/>
          <w:lang w:val="en-US"/>
        </w:rPr>
        <w:t>um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D05A7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66F46">
        <w:rPr>
          <w:rFonts w:ascii="Times New Romana" w:hAnsi="Times New Romana" w:cs="Arial"/>
          <w:color w:val="010205"/>
          <w:lang w:val="en-US"/>
        </w:rPr>
        <w:t>0,</w:t>
      </w:r>
      <w:r w:rsidR="00466F46" w:rsidRPr="00112D45">
        <w:rPr>
          <w:rFonts w:ascii="Times New Romana" w:hAnsi="Times New Romana" w:cs="Arial"/>
          <w:color w:val="010205"/>
          <w:lang w:val="en-US"/>
        </w:rPr>
        <w:t>73063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6A750F">
        <w:rPr>
          <w:rFonts w:ascii="Times New Romana" w:hAnsi="Times New Romana" w:cs="Arial"/>
          <w:color w:val="010205"/>
          <w:lang w:val="en-US"/>
        </w:rPr>
        <w:t>0,</w:t>
      </w:r>
      <w:r w:rsidR="006A750F" w:rsidRPr="00112D45">
        <w:rPr>
          <w:rFonts w:ascii="Times New Romana" w:hAnsi="Times New Romana" w:cs="Arial"/>
          <w:color w:val="010205"/>
          <w:lang w:val="en-US"/>
        </w:rPr>
        <w:t>07</w:t>
      </w:r>
      <w:r w:rsidR="003776EB">
        <w:rPr>
          <w:rFonts w:ascii="Times New Roman" w:hAnsi="Times New Roman" w:cs="Times New Roman"/>
          <w:color w:val="010205"/>
          <w:sz w:val="24"/>
          <w:szCs w:val="24"/>
          <w:lang w:val="en-US"/>
        </w:rPr>
        <w:t>,</w:t>
      </w:r>
      <w:r w:rsidR="00D113D3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851307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851307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6A750F" w:rsidRPr="00112D45">
        <w:rPr>
          <w:rFonts w:ascii="Times New Romana" w:hAnsi="Times New Romana" w:cs="Arial"/>
          <w:color w:val="010205"/>
          <w:lang w:val="en-US"/>
        </w:rPr>
        <w:t>3</w:t>
      </w:r>
      <w:r w:rsidR="006A750F">
        <w:rPr>
          <w:rFonts w:ascii="Times New Romana" w:hAnsi="Times New Romana" w:cs="Arial"/>
          <w:color w:val="010205"/>
          <w:lang w:val="en-US"/>
        </w:rPr>
        <w:t>,</w:t>
      </w:r>
      <w:r w:rsidR="006A750F" w:rsidRPr="00112D45">
        <w:rPr>
          <w:rFonts w:ascii="Times New Romana" w:hAnsi="Times New Romana" w:cs="Arial"/>
          <w:color w:val="010205"/>
          <w:lang w:val="en-US"/>
        </w:rPr>
        <w:t>46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986B09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</w:p>
    <w:p w14:paraId="63C1F9C9" w14:textId="3FF71B11" w:rsidR="001667B9" w:rsidRDefault="00521160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DER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)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E0456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E4F" w:rsidRPr="00112D45">
        <w:rPr>
          <w:rFonts w:ascii="Times New Romana" w:hAnsi="Times New Romana" w:cs="Arial"/>
          <w:color w:val="010205"/>
          <w:lang w:val="en-US"/>
        </w:rPr>
        <w:t>11</w:t>
      </w:r>
      <w:r w:rsidR="00200E4F">
        <w:rPr>
          <w:rFonts w:ascii="Times New Romana" w:hAnsi="Times New Romana" w:cs="Arial"/>
          <w:color w:val="010205"/>
          <w:lang w:val="en-US"/>
        </w:rPr>
        <w:t>,</w:t>
      </w:r>
      <w:r w:rsidR="00200E4F" w:rsidRPr="00112D45">
        <w:rPr>
          <w:rFonts w:ascii="Times New Romana" w:hAnsi="Times New Romana" w:cs="Arial"/>
          <w:color w:val="010205"/>
          <w:lang w:val="en-US"/>
        </w:rPr>
        <w:t>9244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200E4F" w:rsidRPr="00112D45">
        <w:rPr>
          <w:rFonts w:ascii="Times New Romana" w:hAnsi="Times New Romana" w:cs="Arial"/>
          <w:color w:val="010205"/>
          <w:lang w:val="en-US"/>
        </w:rPr>
        <w:t>11</w:t>
      </w:r>
      <w:r w:rsidR="00200E4F">
        <w:rPr>
          <w:rFonts w:ascii="Times New Romana" w:hAnsi="Times New Romana" w:cs="Arial"/>
          <w:color w:val="010205"/>
          <w:lang w:val="en-US"/>
        </w:rPr>
        <w:t>,</w:t>
      </w:r>
      <w:r w:rsidR="00200E4F" w:rsidRPr="00112D45">
        <w:rPr>
          <w:rFonts w:ascii="Times New Romana" w:hAnsi="Times New Romana" w:cs="Arial"/>
          <w:color w:val="010205"/>
          <w:lang w:val="en-US"/>
        </w:rPr>
        <w:t>9244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AF0010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F0010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C46B0">
        <w:rPr>
          <w:rFonts w:ascii="Times New Roman" w:hAnsi="Times New Roman" w:cs="Times New Roman"/>
          <w:color w:val="FF0000"/>
          <w:sz w:val="24"/>
          <w:szCs w:val="24"/>
          <w:lang w:val="en-US"/>
        </w:rPr>
        <w:t>minimum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lastRenderedPageBreak/>
        <w:t xml:space="preserve">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F7362" w:rsidRPr="00112D45">
        <w:rPr>
          <w:rFonts w:ascii="Times New Romana" w:hAnsi="Times New Romana" w:cs="Arial"/>
          <w:color w:val="010205"/>
          <w:lang w:val="en-US"/>
        </w:rPr>
        <w:t>83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31041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8E45AF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F6728" w:rsidRPr="00112D45">
        <w:rPr>
          <w:rFonts w:ascii="Times New Romana" w:hAnsi="Times New Romana" w:cs="Arial"/>
          <w:color w:val="010205"/>
          <w:lang w:val="en-US"/>
        </w:rPr>
        <w:t>-7</w:t>
      </w:r>
      <w:r w:rsidR="003F6728">
        <w:rPr>
          <w:rFonts w:ascii="Times New Romana" w:hAnsi="Times New Romana" w:cs="Arial"/>
          <w:color w:val="010205"/>
          <w:lang w:val="en-US"/>
        </w:rPr>
        <w:t>,</w:t>
      </w:r>
      <w:r w:rsidR="003F6728" w:rsidRPr="00112D45">
        <w:rPr>
          <w:rFonts w:ascii="Times New Romana" w:hAnsi="Times New Romana" w:cs="Arial"/>
          <w:color w:val="010205"/>
          <w:lang w:val="en-US"/>
        </w:rPr>
        <w:t>18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F6728" w:rsidRPr="00112D45">
        <w:rPr>
          <w:rFonts w:ascii="Times New Romana" w:hAnsi="Times New Romana" w:cs="Arial"/>
          <w:color w:val="010205"/>
          <w:lang w:val="en-US"/>
        </w:rPr>
        <w:t>786</w:t>
      </w:r>
      <w:r w:rsidR="003F6728">
        <w:rPr>
          <w:rFonts w:ascii="Times New Romana" w:hAnsi="Times New Romana" w:cs="Arial"/>
          <w:color w:val="010205"/>
          <w:lang w:val="en-US"/>
        </w:rPr>
        <w:t>,</w:t>
      </w:r>
      <w:r w:rsidR="003F6728" w:rsidRPr="00112D45">
        <w:rPr>
          <w:rFonts w:ascii="Times New Romana" w:hAnsi="Times New Romana" w:cs="Arial"/>
          <w:color w:val="010205"/>
          <w:lang w:val="en-US"/>
        </w:rPr>
        <w:t>93</w:t>
      </w:r>
      <w:r w:rsidR="009873A0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55893AF5" w14:textId="095061D0" w:rsidR="00466531" w:rsidRPr="00BF10F4" w:rsidRDefault="00466531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Pengujian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Asumsi</w:t>
      </w:r>
      <w:proofErr w:type="spellEnd"/>
    </w:p>
    <w:p w14:paraId="6BC52BD9" w14:textId="6BE6EEA2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55D9B1D" w14:textId="65A18DFC" w:rsidR="005223C4" w:rsidRDefault="005223C4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ataukah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berdistribusi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normal.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</w:t>
      </w:r>
      <w:r>
        <w:rPr>
          <w:rFonts w:ascii="Times New Roman" w:hAnsi="Times New Roman" w:cs="Times New Roman"/>
          <w:sz w:val="24"/>
          <w:szCs w:val="24"/>
          <w:lang w:val="en-US"/>
        </w:rPr>
        <w:t>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(KS) Kolmogorov–Smirnov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symp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. Sig &gt;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(α)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data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sig (p) &gt; 0,05 dan data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sig (p) &lt; 0,05.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Kolmogorov-Smirnov pada data residual. Dan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IV.4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D0E8AC" w14:textId="4C98ADE7" w:rsidR="00922E21" w:rsidRPr="00922E21" w:rsidRDefault="00922E21" w:rsidP="00950C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5F3214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Kelayakan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 Atas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Asumsi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Normalitas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0"/>
        <w:gridCol w:w="2387"/>
        <w:gridCol w:w="2355"/>
      </w:tblGrid>
      <w:tr w:rsidR="00922E21" w:rsidRPr="00534A1E" w14:paraId="2FF53CC1" w14:textId="77777777" w:rsidTr="00986B09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8DD0D" w14:textId="77777777" w:rsidR="00922E21" w:rsidRPr="00534A1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b/>
                <w:bCs/>
                <w:color w:val="010205"/>
                <w:lang w:val="en-US"/>
              </w:rPr>
              <w:t>One-Sample Kolmogorov-Smirnov Test</w:t>
            </w:r>
          </w:p>
        </w:tc>
      </w:tr>
      <w:tr w:rsidR="0083232E" w:rsidRPr="0083232E" w14:paraId="2E1E67C9" w14:textId="77777777" w:rsidTr="00986B09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287A6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ED77E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Unstandardized Residual</w:t>
            </w:r>
          </w:p>
        </w:tc>
      </w:tr>
      <w:tr w:rsidR="0083232E" w:rsidRPr="0083232E" w14:paraId="7E843345" w14:textId="77777777" w:rsidTr="00986B09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8055B2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647909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79</w:t>
            </w:r>
          </w:p>
        </w:tc>
      </w:tr>
      <w:tr w:rsidR="0083232E" w:rsidRPr="0083232E" w14:paraId="11C0156E" w14:textId="77777777" w:rsidTr="00986B09">
        <w:trPr>
          <w:cantSplit/>
        </w:trPr>
        <w:tc>
          <w:tcPr>
            <w:tcW w:w="245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AFD893" w14:textId="4A7D33D2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Normal</w:t>
            </w:r>
            <w:r w:rsidR="001F4430" w:rsidRPr="008323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32E">
              <w:rPr>
                <w:rFonts w:ascii="Times New Roman" w:hAnsi="Times New Roman" w:cs="Times New Roman"/>
                <w:lang w:val="en-US"/>
              </w:rPr>
              <w:t>Parameters</w:t>
            </w:r>
            <w:r w:rsidRPr="0083232E">
              <w:rPr>
                <w:rFonts w:ascii="Times New Roman" w:hAnsi="Times New Roman" w:cs="Times New Roman"/>
                <w:vertAlign w:val="superscript"/>
                <w:lang w:val="en-US"/>
              </w:rPr>
              <w:t>a,b</w:t>
            </w:r>
            <w:proofErr w:type="spellEnd"/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1458A4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9723B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.0000000</w:t>
            </w:r>
          </w:p>
        </w:tc>
      </w:tr>
      <w:tr w:rsidR="0083232E" w:rsidRPr="0083232E" w14:paraId="7FE21E10" w14:textId="77777777" w:rsidTr="00986B09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02E831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92615D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Std. Deviation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AE0428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.89516998</w:t>
            </w:r>
          </w:p>
        </w:tc>
      </w:tr>
      <w:tr w:rsidR="0083232E" w:rsidRPr="0083232E" w14:paraId="37E6F75E" w14:textId="77777777" w:rsidTr="00986B09">
        <w:trPr>
          <w:cantSplit/>
        </w:trPr>
        <w:tc>
          <w:tcPr>
            <w:tcW w:w="245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83A1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Most Extreme Differences</w:t>
            </w: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CA0608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Absolute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565426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.182</w:t>
            </w:r>
          </w:p>
        </w:tc>
      </w:tr>
      <w:tr w:rsidR="0083232E" w:rsidRPr="0083232E" w14:paraId="16D2E3DA" w14:textId="77777777" w:rsidTr="00986B09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CA884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C9A1DA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Positive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52F020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.114</w:t>
            </w:r>
          </w:p>
        </w:tc>
      </w:tr>
      <w:tr w:rsidR="0083232E" w:rsidRPr="0083232E" w14:paraId="2158FCB3" w14:textId="77777777" w:rsidTr="00986B09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BEF13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8F6D51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Negative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6185DA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-.182</w:t>
            </w:r>
          </w:p>
        </w:tc>
      </w:tr>
      <w:tr w:rsidR="0083232E" w:rsidRPr="0083232E" w14:paraId="4DA38472" w14:textId="77777777" w:rsidTr="00986B09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E32648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Test Statistic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408E65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.182</w:t>
            </w:r>
          </w:p>
        </w:tc>
      </w:tr>
      <w:tr w:rsidR="0083232E" w:rsidRPr="0083232E" w14:paraId="5EE67222" w14:textId="77777777" w:rsidTr="00FC0845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1CD565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2E">
              <w:rPr>
                <w:rFonts w:ascii="Times New Roman" w:hAnsi="Times New Roman" w:cs="Times New Roman"/>
                <w:lang w:val="en-US"/>
              </w:rPr>
              <w:t>Asymp</w:t>
            </w:r>
            <w:proofErr w:type="spellEnd"/>
            <w:r w:rsidRPr="0083232E">
              <w:rPr>
                <w:rFonts w:ascii="Times New Roman" w:hAnsi="Times New Roman" w:cs="Times New Roman"/>
                <w:lang w:val="en-US"/>
              </w:rPr>
              <w:t>. Sig. (2-tailed)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33E37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.000</w:t>
            </w:r>
            <w:r w:rsidRPr="0083232E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</w:tr>
      <w:tr w:rsidR="0083232E" w:rsidRPr="0083232E" w14:paraId="52BD5A80" w14:textId="77777777" w:rsidTr="00FC0845">
        <w:trPr>
          <w:cantSplit/>
          <w:trHeight w:val="82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9B57E5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a. Test distribution is Normal.</w:t>
            </w:r>
          </w:p>
        </w:tc>
      </w:tr>
      <w:tr w:rsidR="0083232E" w:rsidRPr="0083232E" w14:paraId="1F102D05" w14:textId="77777777" w:rsidTr="00FC0845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545BA7D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b. Calculated from data.</w:t>
            </w:r>
          </w:p>
        </w:tc>
      </w:tr>
      <w:tr w:rsidR="0083232E" w:rsidRPr="0083232E" w14:paraId="5A6B77B4" w14:textId="77777777" w:rsidTr="00FC0845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9BE9F7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c. Lilliefors Significance Correction.</w:t>
            </w:r>
          </w:p>
        </w:tc>
      </w:tr>
    </w:tbl>
    <w:p w14:paraId="41BBC098" w14:textId="77777777" w:rsidR="0084775A" w:rsidRDefault="0084775A" w:rsidP="00986B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>, 2022</w:t>
      </w:r>
    </w:p>
    <w:p w14:paraId="659CD633" w14:textId="5C40CE6B" w:rsidR="00AF056B" w:rsidRPr="005223C4" w:rsidRDefault="00AF056B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05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IV.4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berdistribusi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normal,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Kolmogorov-Smirnov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>
        <w:rPr>
          <w:rFonts w:ascii="Times New Roman" w:hAnsi="Times New Roman" w:cs="Times New Roman"/>
          <w:sz w:val="24"/>
          <w:szCs w:val="24"/>
          <w:lang w:val="en-US"/>
        </w:rPr>
        <w:t>182</w:t>
      </w:r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0,05</w:t>
      </w:r>
      <w:r w:rsidR="00502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10B31E" w14:textId="4CDFF211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46564A65" w14:textId="21F78320" w:rsidR="00951CBC" w:rsidRDefault="00951CBC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ditunjukkan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kolinieritas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B0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9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multikolinearitas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, oleh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diperuntukan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r w:rsidRPr="00732858">
        <w:rPr>
          <w:rFonts w:ascii="Times New Roman" w:hAnsi="Times New Roman" w:cs="Times New Roman"/>
          <w:i/>
          <w:iCs/>
          <w:sz w:val="24"/>
          <w:szCs w:val="24"/>
          <w:lang w:val="en-US"/>
        </w:rPr>
        <w:t>tolerance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pada masing-masing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10% (0,1),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VIF (variance inflation factor) masing-masing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10. Hal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75B" w:rsidRPr="008C475B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(Z-Score)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multikolenieritas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</w:t>
      </w:r>
      <w:r w:rsidR="00F2483B">
        <w:rPr>
          <w:rFonts w:ascii="Times New Roman" w:hAnsi="Times New Roman" w:cs="Times New Roman"/>
          <w:sz w:val="24"/>
          <w:szCs w:val="24"/>
          <w:lang w:val="en-US"/>
        </w:rPr>
        <w:t>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71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tolerance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433">
        <w:rPr>
          <w:rFonts w:ascii="Times New Roman" w:hAnsi="Times New Roman" w:cs="Times New Roman"/>
          <w:i/>
          <w:iCs/>
          <w:sz w:val="24"/>
          <w:szCs w:val="24"/>
          <w:lang w:val="en-US"/>
        </w:rPr>
        <w:t>variance inflation factor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(VIF)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</w:p>
    <w:p w14:paraId="2E0912C1" w14:textId="4897123D" w:rsidR="00F24726" w:rsidRPr="00B01617" w:rsidRDefault="00F24726" w:rsidP="00950C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9B2A70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Multikolinieritas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4379"/>
        <w:gridCol w:w="2193"/>
        <w:gridCol w:w="2204"/>
      </w:tblGrid>
      <w:tr w:rsidR="002D2145" w:rsidRPr="002D2145" w14:paraId="5302ACD5" w14:textId="77777777" w:rsidTr="009A5C80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C23F49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Coefficients</w:t>
            </w:r>
            <w:r w:rsidRPr="002D2145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a</w:t>
            </w:r>
            <w:proofErr w:type="spellEnd"/>
          </w:p>
        </w:tc>
      </w:tr>
      <w:tr w:rsidR="002D2145" w:rsidRPr="002D2145" w14:paraId="593A0F7D" w14:textId="77777777" w:rsidTr="009A5C80">
        <w:trPr>
          <w:cantSplit/>
        </w:trPr>
        <w:tc>
          <w:tcPr>
            <w:tcW w:w="2644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E22ED4" w14:textId="6EA79D17" w:rsidR="00D81A3A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23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2B7525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Collinearity Statistics</w:t>
            </w:r>
          </w:p>
        </w:tc>
      </w:tr>
      <w:tr w:rsidR="002D2145" w:rsidRPr="002D2145" w14:paraId="5A50E76E" w14:textId="77777777" w:rsidTr="009A5C80">
        <w:trPr>
          <w:cantSplit/>
        </w:trPr>
        <w:tc>
          <w:tcPr>
            <w:tcW w:w="2644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F8342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F50578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Tolerance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DFB5D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VIF</w:t>
            </w:r>
          </w:p>
        </w:tc>
      </w:tr>
      <w:tr w:rsidR="002D2145" w:rsidRPr="002D2145" w14:paraId="3F7D23AE" w14:textId="77777777" w:rsidTr="009A5C80">
        <w:trPr>
          <w:cantSplit/>
        </w:trPr>
        <w:tc>
          <w:tcPr>
            <w:tcW w:w="29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CB425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2886E1" w14:textId="685DDA46" w:rsidR="00D81A3A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lang w:val="en-US"/>
              </w:rPr>
              <w:t>Konstanta</w:t>
            </w:r>
            <w:proofErr w:type="spellEnd"/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CB338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841743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2145" w:rsidRPr="002D2145" w14:paraId="0346E5DC" w14:textId="77777777" w:rsidTr="009A5C80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CEA8D9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3CA78E" w14:textId="31D14BC0" w:rsidR="00D81A3A" w:rsidRPr="002D2145" w:rsidRDefault="00986B09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986B09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ROE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4F4A04B" w14:textId="42A9CCDE" w:rsidR="00D81A3A" w:rsidRPr="002D2145" w:rsidRDefault="00986B09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7B62F71" w14:textId="056ABE64" w:rsidR="00D81A3A" w:rsidRPr="002D2145" w:rsidRDefault="00D81A3A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957</w:t>
            </w:r>
            <w:r w:rsidR="00986B09">
              <w:rPr>
                <w:rFonts w:ascii="Times New Roman" w:hAnsi="Times New Roman" w:cs="Times New Roman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lang w:val="en-US"/>
              </w:rPr>
              <w:t>958</w:t>
            </w:r>
          </w:p>
        </w:tc>
      </w:tr>
      <w:tr w:rsidR="002D2145" w:rsidRPr="002D2145" w14:paraId="6446848F" w14:textId="77777777" w:rsidTr="009A5C80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ECDA4D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A2B029" w14:textId="18656DF7" w:rsidR="00D81A3A" w:rsidRPr="002D2145" w:rsidRDefault="00986B09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986B09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QR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4D0E34" w14:textId="389DF1F7" w:rsidR="00D81A3A" w:rsidRPr="002D2145" w:rsidRDefault="00986B09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879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26BDA7" w14:textId="6199EDE3" w:rsidR="00D81A3A" w:rsidRPr="002D2145" w:rsidRDefault="00D81A3A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1</w:t>
            </w:r>
            <w:r w:rsidR="00986B09">
              <w:rPr>
                <w:rFonts w:ascii="Times New Roman" w:hAnsi="Times New Roman" w:cs="Times New Roman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lang w:val="en-US"/>
              </w:rPr>
              <w:t>138</w:t>
            </w:r>
          </w:p>
        </w:tc>
      </w:tr>
      <w:tr w:rsidR="002D2145" w:rsidRPr="002D2145" w14:paraId="0207450F" w14:textId="77777777" w:rsidTr="009A5C80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585A70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A08EF7" w14:textId="6AC1053A" w:rsidR="00D81A3A" w:rsidRPr="002D2145" w:rsidRDefault="00986B09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986B09">
              <w:rPr>
                <w:rFonts w:ascii="Times New Roman" w:hAnsi="Times New Roman" w:cs="Times New Roman"/>
                <w:i/>
                <w:iCs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DER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998793" w14:textId="3F1A4A70" w:rsidR="00D81A3A" w:rsidRPr="002D2145" w:rsidRDefault="00986B09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F2F755" w14:textId="08D03E0C" w:rsidR="00D81A3A" w:rsidRPr="002D2145" w:rsidRDefault="00D81A3A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960</w:t>
            </w:r>
            <w:r w:rsidR="00986B09">
              <w:rPr>
                <w:rFonts w:ascii="Times New Roman" w:hAnsi="Times New Roman" w:cs="Times New Roman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lang w:val="en-US"/>
              </w:rPr>
              <w:t>524</w:t>
            </w:r>
          </w:p>
        </w:tc>
      </w:tr>
      <w:tr w:rsidR="002D2145" w:rsidRPr="002D2145" w14:paraId="18B4A6D3" w14:textId="77777777" w:rsidTr="003F48BC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BF1075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a. Dependent Variable: ZSCORE1</w:t>
            </w:r>
          </w:p>
        </w:tc>
      </w:tr>
    </w:tbl>
    <w:p w14:paraId="0786EC9F" w14:textId="1283B795" w:rsidR="00B01617" w:rsidRPr="00951CBC" w:rsidRDefault="00C548E7" w:rsidP="00986B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337AF4C3" w14:textId="15D8549D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Auto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</w:p>
    <w:p w14:paraId="2732D058" w14:textId="21ECA82C" w:rsidR="00891CFE" w:rsidRDefault="00891CFE" w:rsidP="00986B09">
      <w:pPr>
        <w:spacing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Persamaan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bCs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. Jika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bCs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perasamaan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layak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dipakai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Ukuaran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tidaknya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uji </w:t>
      </w:r>
      <w:r w:rsidRPr="00891CFE">
        <w:rPr>
          <w:rFonts w:ascii="Times New Roman" w:eastAsia="Times New Roman" w:hAnsi="Times New Roman"/>
          <w:bCs/>
          <w:i/>
          <w:iCs/>
          <w:sz w:val="24"/>
          <w:szCs w:val="24"/>
        </w:rPr>
        <w:t>Durbin-Watson</w:t>
      </w:r>
      <w:r w:rsidRPr="00891CFE">
        <w:rPr>
          <w:rFonts w:ascii="Times New Roman" w:eastAsia="Times New Roman" w:hAnsi="Times New Roman"/>
          <w:bCs/>
          <w:sz w:val="24"/>
          <w:szCs w:val="24"/>
        </w:rPr>
        <w:t xml:space="preserve"> (DW)</w:t>
      </w:r>
      <w:r w:rsidRPr="00891CF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ketentuan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>:</w:t>
      </w:r>
    </w:p>
    <w:p w14:paraId="0EFC5CFB" w14:textId="0A1F5B17" w:rsidR="00AA47CC" w:rsidRPr="00991506" w:rsidRDefault="00AA47CC" w:rsidP="00986B09">
      <w:pPr>
        <w:pStyle w:val="ListParagraph"/>
        <w:numPr>
          <w:ilvl w:val="0"/>
          <w:numId w:val="22"/>
        </w:numPr>
        <w:spacing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7CC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proofErr w:type="spellStart"/>
      <w:r w:rsidRPr="00AA47CC">
        <w:rPr>
          <w:rFonts w:ascii="Times New Roman" w:eastAsia="Times New Roman" w:hAnsi="Times New Roman" w:cs="Times New Roman"/>
          <w:sz w:val="24"/>
          <w:szCs w:val="24"/>
        </w:rPr>
        <w:t>erjad</w:t>
      </w:r>
      <w:r w:rsidRPr="009915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autokorelasi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DW di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-2 (DW &lt; -2);</w:t>
      </w:r>
    </w:p>
    <w:p w14:paraId="6FF63EF2" w14:textId="4D171345" w:rsidR="00AA47CC" w:rsidRPr="007C7031" w:rsidRDefault="00991506" w:rsidP="00986B09">
      <w:pPr>
        <w:pStyle w:val="ListParagraph"/>
        <w:numPr>
          <w:ilvl w:val="0"/>
          <w:numId w:val="22"/>
        </w:numPr>
        <w:spacing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autokorelasi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DW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berada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-2 dan +2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-2 &lt; DW +2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D49D719" w14:textId="78139F09" w:rsidR="00C24DE4" w:rsidRPr="006C0AE9" w:rsidRDefault="008228DE" w:rsidP="0013664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IV.6 Durbin Watson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3"/>
        <w:gridCol w:w="915"/>
        <w:gridCol w:w="1463"/>
        <w:gridCol w:w="1463"/>
        <w:gridCol w:w="1831"/>
        <w:gridCol w:w="2197"/>
      </w:tblGrid>
      <w:tr w:rsidR="002D2145" w:rsidRPr="002D2145" w14:paraId="71EED372" w14:textId="77777777" w:rsidTr="003F48B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40D9C3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Model </w:t>
            </w:r>
            <w:proofErr w:type="spellStart"/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Summary</w:t>
            </w: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en-US"/>
              </w:rPr>
              <w:t>b</w:t>
            </w:r>
            <w:proofErr w:type="spellEnd"/>
          </w:p>
        </w:tc>
      </w:tr>
      <w:tr w:rsidR="002D2145" w:rsidRPr="002D2145" w14:paraId="7D2056CF" w14:textId="77777777" w:rsidTr="009A5C80">
        <w:trPr>
          <w:cantSplit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32B2CC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Model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023C04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R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C51B53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R Square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B62FFE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Adjusted R Square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5C123F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Std. Error of the Estimate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34AEBD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Durbin-Watson</w:t>
            </w:r>
          </w:p>
        </w:tc>
      </w:tr>
      <w:tr w:rsidR="002D2145" w:rsidRPr="002D2145" w14:paraId="02E0FB66" w14:textId="77777777" w:rsidTr="009A5C80">
        <w:trPr>
          <w:cantSplit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AF4559" w14:textId="77777777" w:rsidR="002D2145" w:rsidRPr="003F48BC" w:rsidRDefault="002D2145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454CD" w14:textId="11368949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355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a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3624C7" w14:textId="73C953B7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126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2D93C6" w14:textId="1A32B3D9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091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78AF696" w14:textId="20160D4F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91290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922B0AF" w14:textId="4531B233" w:rsidR="002D2145" w:rsidRPr="003F48BC" w:rsidRDefault="002D2145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="00E40C54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330</w:t>
            </w:r>
          </w:p>
        </w:tc>
      </w:tr>
      <w:tr w:rsidR="002D2145" w:rsidRPr="002D2145" w14:paraId="3EAD3ACD" w14:textId="77777777" w:rsidTr="003F48B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193905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a. Predictors: (Constant), DER, QR, ROE</w:t>
            </w:r>
          </w:p>
        </w:tc>
      </w:tr>
      <w:tr w:rsidR="002D2145" w:rsidRPr="002D2145" w14:paraId="52DFD60A" w14:textId="77777777" w:rsidTr="003F48B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B5ADF9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b. Dependent Variable: ZSCORE1</w:t>
            </w:r>
          </w:p>
        </w:tc>
      </w:tr>
    </w:tbl>
    <w:p w14:paraId="3ABE2291" w14:textId="22473C7B" w:rsidR="002D2145" w:rsidRDefault="00982BD5" w:rsidP="002447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094B0BC5" w14:textId="6D0F43FA" w:rsidR="007C7031" w:rsidRPr="007C7031" w:rsidRDefault="007C7031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>asil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output di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04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401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C77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69FD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="00EF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>Durbin-Watson</w:t>
      </w:r>
      <w:r w:rsidR="00270108">
        <w:rPr>
          <w:rFonts w:ascii="Times New Roman" w:hAnsi="Times New Roman" w:cs="Times New Roman"/>
          <w:sz w:val="24"/>
          <w:szCs w:val="24"/>
          <w:lang w:val="en-US"/>
        </w:rPr>
        <w:t xml:space="preserve"> (DW)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10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199">
        <w:rPr>
          <w:rFonts w:ascii="Times New Roman" w:hAnsi="Times New Roman" w:cs="Times New Roman"/>
          <w:sz w:val="24"/>
          <w:szCs w:val="24"/>
          <w:lang w:val="en-US"/>
        </w:rPr>
        <w:t>1,330</w:t>
      </w:r>
      <w:r w:rsidR="006058D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58D6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6058D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DW &lt; 2,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871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71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autokorelasi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5C864" w14:textId="3D6EE120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Heteroskedastisitas</w:t>
      </w:r>
      <w:proofErr w:type="spellEnd"/>
    </w:p>
    <w:p w14:paraId="2B7DB3D5" w14:textId="77777777" w:rsidR="00986B09" w:rsidRDefault="00772ABA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ketidaksamaan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yang lain. Jika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. Model yang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terbebas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homoskedastisitas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, oleh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diperuntu</w:t>
      </w:r>
      <w:r w:rsidR="0080132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32A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1B8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66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1B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55D">
        <w:rPr>
          <w:rFonts w:ascii="Times New Roman" w:hAnsi="Times New Roman" w:cs="Times New Roman"/>
          <w:i/>
          <w:iCs/>
          <w:sz w:val="24"/>
          <w:szCs w:val="24"/>
          <w:lang w:val="en-US"/>
        </w:rPr>
        <w:t>scatterplot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0BC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(ZPRED)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residualnya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(SRESID),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signifikansi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2ABA">
        <w:rPr>
          <w:rFonts w:ascii="Times New Roman" w:hAnsi="Times New Roman" w:cs="Times New Roman"/>
          <w:sz w:val="24"/>
          <w:szCs w:val="24"/>
        </w:rPr>
        <w:t>α = 0,05.</w:t>
      </w:r>
    </w:p>
    <w:p w14:paraId="52E53D25" w14:textId="3A57B7F7" w:rsidR="00C24DE4" w:rsidRDefault="00D63C1C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analisisnya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bergelombang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melebar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menyempit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(2)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dan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angkat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3C1C">
        <w:rPr>
          <w:rFonts w:ascii="Times New Roman" w:hAnsi="Times New Roman" w:cs="Times New Roman"/>
          <w:i/>
          <w:iCs/>
          <w:sz w:val="24"/>
          <w:szCs w:val="24"/>
          <w:lang w:val="en-US"/>
        </w:rPr>
        <w:t>scatterplot</w:t>
      </w: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2D3489" w14:textId="77777777" w:rsidR="00021335" w:rsidRDefault="00021335" w:rsidP="000213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0AE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Gambar: 4.6 </w:t>
      </w:r>
      <w:r w:rsidRPr="006C0AE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Scatterplot</w:t>
      </w:r>
    </w:p>
    <w:p w14:paraId="339381BF" w14:textId="5137880F" w:rsidR="00F926F1" w:rsidRDefault="00F926F1" w:rsidP="005D6A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0F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DCA6C4" wp14:editId="48F6768F">
            <wp:extent cx="4505877" cy="26500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21" cy="26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73F7" w14:textId="77777777" w:rsidR="00986B09" w:rsidRDefault="00C24DE4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scatterplot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SRESID dan ZPRED di mana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diprediksi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dan X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residual</w:t>
      </w:r>
      <w:r w:rsidR="00F90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(Y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pada model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6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E38E23" w14:textId="4BAA330B" w:rsidR="00C24DE4" w:rsidRDefault="00C24DE4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terdistribusi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normal,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multikolinearitas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autokorelasi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data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2372F9" w14:textId="585DE2C1" w:rsidR="00466531" w:rsidRPr="00BF10F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Analisis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Hasil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Penelitian</w:t>
      </w:r>
      <w:proofErr w:type="spellEnd"/>
    </w:p>
    <w:p w14:paraId="24D0EF77" w14:textId="4AB868BE" w:rsidR="00466531" w:rsidRPr="00BF10F4" w:rsidRDefault="00CF16F9" w:rsidP="002447E1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Analisi</w:t>
      </w:r>
      <w:r w:rsidR="00C76AFD">
        <w:rPr>
          <w:rFonts w:ascii="Times New Roman" w:hAnsi="Times New Roman" w:cs="Times New Roman"/>
          <w:b/>
          <w:bCs/>
          <w:color w:val="auto"/>
          <w:lang w:val="en-US"/>
        </w:rPr>
        <w:t>s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Regresi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Linier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Sederhana</w:t>
      </w:r>
      <w:proofErr w:type="spellEnd"/>
    </w:p>
    <w:p w14:paraId="039900F7" w14:textId="5A5D4657" w:rsidR="00124973" w:rsidRPr="00A81D47" w:rsidRDefault="009210E8" w:rsidP="002447E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2E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9E7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971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C4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0A6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="00C100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100A6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8A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Dalam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hal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ini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>,</w:t>
      </w:r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analisis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D31C0C">
        <w:rPr>
          <w:rStyle w:val="FontStyle43"/>
          <w:i w:val="0"/>
          <w:iCs w:val="0"/>
          <w:sz w:val="24"/>
          <w:szCs w:val="24"/>
        </w:rPr>
        <w:t>diketahui</w:t>
      </w:r>
      <w:proofErr w:type="spellEnd"/>
      <w:r w:rsidR="00D31C0C">
        <w:rPr>
          <w:rStyle w:val="FontStyle43"/>
          <w:i w:val="0"/>
          <w:iCs w:val="0"/>
          <w:sz w:val="24"/>
          <w:szCs w:val="24"/>
        </w:rPr>
        <w:t xml:space="preserve"> dan </w:t>
      </w:r>
      <w:proofErr w:type="spellStart"/>
      <w:r w:rsidR="00C100A6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="00C100A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C945D6">
        <w:rPr>
          <w:rStyle w:val="FontStyle43"/>
          <w:sz w:val="24"/>
          <w:szCs w:val="24"/>
        </w:rPr>
        <w:t xml:space="preserve">return </w:t>
      </w:r>
      <w:r w:rsidR="00C945D6" w:rsidRPr="00A81D47">
        <w:rPr>
          <w:rStyle w:val="FontStyle43"/>
          <w:sz w:val="24"/>
          <w:szCs w:val="24"/>
        </w:rPr>
        <w:t>o</w:t>
      </w:r>
      <w:r w:rsidR="00C945D6">
        <w:rPr>
          <w:rStyle w:val="FontStyle43"/>
          <w:sz w:val="24"/>
          <w:szCs w:val="24"/>
        </w:rPr>
        <w:t>n equity</w:t>
      </w:r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(QR)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atau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C945D6" w:rsidRPr="00A81D47">
        <w:rPr>
          <w:rStyle w:val="FontStyle43"/>
          <w:sz w:val="24"/>
          <w:szCs w:val="24"/>
        </w:rPr>
        <w:t>financial distress</w:t>
      </w:r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C945D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C945D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81D47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263E138D" w14:textId="3F955CB1" w:rsidR="00124973" w:rsidRPr="007B19F5" w:rsidRDefault="00124973" w:rsidP="00023B7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8A2238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on Equity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(ROE)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="00140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4053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D95F58" w:rsidRPr="00FB6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Altman 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Z-</w:t>
      </w:r>
      <w:r w:rsidR="007B19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898"/>
        <w:gridCol w:w="1101"/>
        <w:gridCol w:w="1823"/>
        <w:gridCol w:w="1818"/>
        <w:gridCol w:w="972"/>
        <w:gridCol w:w="924"/>
      </w:tblGrid>
      <w:tr w:rsidR="00D27F4A" w:rsidRPr="00862B68" w14:paraId="3399F45A" w14:textId="77777777" w:rsidTr="00A901F5">
        <w:tc>
          <w:tcPr>
            <w:tcW w:w="962" w:type="pct"/>
            <w:vMerge w:val="restart"/>
            <w:tcBorders>
              <w:left w:val="nil"/>
              <w:right w:val="nil"/>
            </w:tcBorders>
            <w:vAlign w:val="center"/>
          </w:tcPr>
          <w:p w14:paraId="344351E3" w14:textId="247EB00A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4038" w:type="pct"/>
            <w:gridSpan w:val="6"/>
            <w:tcBorders>
              <w:left w:val="nil"/>
              <w:right w:val="nil"/>
            </w:tcBorders>
          </w:tcPr>
          <w:p w14:paraId="16541AEF" w14:textId="3816836C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D27F4A" w:rsidRPr="00862B68" w14:paraId="31EDFB1F" w14:textId="77777777" w:rsidTr="00A901F5">
        <w:tc>
          <w:tcPr>
            <w:tcW w:w="96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DA072D" w14:textId="3BDB651C" w:rsidR="00D27F4A" w:rsidRPr="00862B68" w:rsidRDefault="00D27F4A" w:rsidP="00D27F4A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481" w:type="pct"/>
            <w:tcBorders>
              <w:left w:val="nil"/>
              <w:right w:val="nil"/>
            </w:tcBorders>
            <w:vAlign w:val="center"/>
          </w:tcPr>
          <w:p w14:paraId="68520DD4" w14:textId="06EFAAEF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590" w:type="pct"/>
            <w:tcBorders>
              <w:left w:val="nil"/>
              <w:right w:val="nil"/>
            </w:tcBorders>
            <w:vAlign w:val="center"/>
          </w:tcPr>
          <w:p w14:paraId="2EE97EF8" w14:textId="3E92205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977" w:type="pct"/>
            <w:tcBorders>
              <w:left w:val="nil"/>
              <w:right w:val="nil"/>
            </w:tcBorders>
            <w:vAlign w:val="center"/>
          </w:tcPr>
          <w:p w14:paraId="1FE021C0" w14:textId="40B8299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974" w:type="pct"/>
            <w:tcBorders>
              <w:left w:val="nil"/>
              <w:right w:val="nil"/>
            </w:tcBorders>
            <w:vAlign w:val="center"/>
          </w:tcPr>
          <w:p w14:paraId="44054C1B" w14:textId="3321D399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521" w:type="pct"/>
            <w:tcBorders>
              <w:left w:val="nil"/>
              <w:right w:val="nil"/>
            </w:tcBorders>
            <w:vAlign w:val="center"/>
          </w:tcPr>
          <w:p w14:paraId="1A458BFE" w14:textId="01A6DD9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494" w:type="pct"/>
            <w:tcBorders>
              <w:left w:val="nil"/>
              <w:right w:val="nil"/>
            </w:tcBorders>
            <w:vAlign w:val="center"/>
          </w:tcPr>
          <w:p w14:paraId="79183D20" w14:textId="5FB5BC95" w:rsidR="00D27F4A" w:rsidRPr="00862B68" w:rsidRDefault="00A95D3C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D27F4A" w:rsidRPr="00862B68" w14:paraId="14CE0ABA" w14:textId="77777777" w:rsidTr="00A901F5">
        <w:tc>
          <w:tcPr>
            <w:tcW w:w="96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5593D8" w14:textId="51A17817" w:rsidR="00D27F4A" w:rsidRPr="00862B68" w:rsidRDefault="00D27F4A" w:rsidP="00D27F4A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 w:rsidR="000B1749" w:rsidRPr="00862B68">
              <w:rPr>
                <w:rFonts w:ascii="Times New Roman" w:hAnsi="Times New Roman" w:cs="Times New Roman"/>
                <w:lang w:val="en-US"/>
              </w:rPr>
              <w:t xml:space="preserve"> (ROE)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158215" w14:textId="75CFAB32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0,131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2C5DD0" w14:textId="3F7A05D4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0,017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17A38B" w14:textId="4E381090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0,460</w:t>
            </w:r>
          </w:p>
        </w:tc>
        <w:tc>
          <w:tcPr>
            <w:tcW w:w="9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E9E111" w14:textId="0DE97513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6C0D49" w14:textId="4AC65C14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0,248</w:t>
            </w: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4687A2" w14:textId="738B9FCB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D27F4A" w:rsidRPr="00862B68" w14:paraId="540CB9A6" w14:textId="77777777" w:rsidTr="00A901F5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2136F2C8" w14:textId="08A84D05" w:rsidR="00D27F4A" w:rsidRPr="00862B68" w:rsidRDefault="00D27F4A" w:rsidP="0073731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D27F4A" w:rsidRPr="00862B68" w14:paraId="416A3C14" w14:textId="77777777" w:rsidTr="00A901F5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19F0AEAF" w14:textId="0C091B9D" w:rsidR="00D27F4A" w:rsidRPr="00862B68" w:rsidRDefault="00D27F4A" w:rsidP="007373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1.164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1.665</w:t>
            </w:r>
          </w:p>
        </w:tc>
      </w:tr>
    </w:tbl>
    <w:p w14:paraId="06E7C0DB" w14:textId="664BA0DE" w:rsidR="0073731D" w:rsidRPr="003E3A85" w:rsidRDefault="002E286D" w:rsidP="002447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="008F02F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1DF2631D" w14:textId="785777BA" w:rsidR="00A901F5" w:rsidRDefault="002177F6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A85">
        <w:rPr>
          <w:rFonts w:ascii="Times New Roman" w:hAnsi="Times New Roman" w:cs="Times New Roman"/>
          <w:sz w:val="24"/>
          <w:szCs w:val="24"/>
          <w:lang w:val="en-US"/>
        </w:rPr>
        <w:t>Berdas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>arkan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 w:rsidR="00CB167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7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74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0,131 yang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620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3895" w:rsidRPr="00A81D47">
        <w:rPr>
          <w:rFonts w:ascii="Times New Roman" w:hAnsi="Times New Roman" w:cs="Times New Roman"/>
          <w:i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="00353895"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0.017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1,70%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C5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9</w:t>
      </w:r>
      <w:r w:rsidR="005D1FC2">
        <w:rPr>
          <w:rFonts w:ascii="Times New Roman" w:hAnsi="Times New Roman" w:cs="Times New Roman"/>
          <w:sz w:val="24"/>
          <w:szCs w:val="24"/>
        </w:rPr>
        <w:t>8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,30%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>.</w:t>
      </w:r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E32A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E32AB">
        <w:rPr>
          <w:rFonts w:ascii="Times New Roman" w:hAnsi="Times New Roman" w:cs="Times New Roman"/>
          <w:sz w:val="24"/>
          <w:szCs w:val="24"/>
        </w:rPr>
        <w:t xml:space="preserve"> </w:t>
      </w:r>
      <w:r w:rsidR="008C4221">
        <w:rPr>
          <w:rFonts w:ascii="Times New Roman" w:hAnsi="Times New Roman" w:cs="Times New Roman"/>
          <w:sz w:val="24"/>
          <w:szCs w:val="24"/>
        </w:rPr>
        <w:t xml:space="preserve">0,248 </w:t>
      </w:r>
      <w:r w:rsidR="005E32AB">
        <w:rPr>
          <w:rFonts w:ascii="Times New Roman" w:hAnsi="Times New Roman" w:cs="Times New Roman"/>
          <w:sz w:val="24"/>
          <w:szCs w:val="24"/>
        </w:rPr>
        <w:t>dan</w:t>
      </w:r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r w:rsidR="008C4221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C4221">
        <w:rPr>
          <w:rFonts w:ascii="Times New Roman" w:hAnsi="Times New Roman" w:cs="Times New Roman"/>
          <w:sz w:val="24"/>
          <w:szCs w:val="24"/>
        </w:rPr>
        <w:t>.</w:t>
      </w:r>
    </w:p>
    <w:p w14:paraId="0E0EE43F" w14:textId="132C1A1C" w:rsidR="007A0644" w:rsidRDefault="007A0644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81D47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FDF6F4" w14:textId="27E9A8A3" w:rsidR="007A0644" w:rsidRDefault="00353895" w:rsidP="000E73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47">
        <w:rPr>
          <w:rFonts w:ascii="Times New Roman" w:hAnsi="Times New Roman" w:cs="Times New Roman"/>
          <w:sz w:val="24"/>
          <w:szCs w:val="24"/>
        </w:rPr>
        <w:t xml:space="preserve">Y </w:t>
      </w:r>
      <w:r w:rsidR="00FF2CC3" w:rsidRPr="00A81D47">
        <w:rPr>
          <w:rFonts w:ascii="Times New Roman" w:hAnsi="Times New Roman" w:cs="Times New Roman"/>
          <w:sz w:val="24"/>
          <w:szCs w:val="24"/>
        </w:rPr>
        <w:t>=</w:t>
      </w:r>
      <w:r w:rsidR="00FF2CC3">
        <w:rPr>
          <w:rFonts w:ascii="Times New Roman" w:hAnsi="Times New Roman" w:cs="Times New Roman"/>
          <w:sz w:val="24"/>
          <w:szCs w:val="24"/>
        </w:rPr>
        <w:t xml:space="preserve"> a + b</w:t>
      </w:r>
      <w:r w:rsidR="008F2756">
        <w:rPr>
          <w:rFonts w:ascii="Times New Roman" w:hAnsi="Times New Roman" w:cs="Times New Roman"/>
          <w:sz w:val="24"/>
          <w:szCs w:val="24"/>
        </w:rPr>
        <w:t>X</w:t>
      </w:r>
      <w:r w:rsidR="00664DC0" w:rsidRPr="00664D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F2CC3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= 0,460 + 0,008X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35CB953" w14:textId="77777777" w:rsidR="00A901F5" w:rsidRDefault="007A0644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3895" w:rsidRPr="00A81D4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DDB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i</w:t>
      </w:r>
      <w:r w:rsidR="008E7843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0,460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6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D436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54443">
        <w:rPr>
          <w:rFonts w:ascii="Times New Roman" w:hAnsi="Times New Roman" w:cs="Times New Roman"/>
          <w:i/>
          <w:iCs/>
          <w:sz w:val="24"/>
          <w:szCs w:val="24"/>
        </w:rPr>
        <w:t xml:space="preserve">quick ratio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4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C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11B44">
        <w:rPr>
          <w:rFonts w:ascii="Times New Roman" w:hAnsi="Times New Roman" w:cs="Times New Roman"/>
          <w:sz w:val="24"/>
          <w:szCs w:val="24"/>
        </w:rPr>
        <w:t xml:space="preserve"> 0.460. </w:t>
      </w:r>
      <w:proofErr w:type="spellStart"/>
      <w:r w:rsidR="00611B44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611B44">
        <w:rPr>
          <w:rFonts w:ascii="Times New Roman" w:hAnsi="Times New Roman" w:cs="Times New Roman"/>
          <w:sz w:val="24"/>
          <w:szCs w:val="24"/>
        </w:rPr>
        <w:t xml:space="preserve"> </w:t>
      </w:r>
      <w:r w:rsidR="00611B44" w:rsidRPr="00611B44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61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0,008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arti</w:t>
      </w:r>
      <w:r w:rsidR="00CE21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2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CC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0,008 dan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3D376ECE" w14:textId="63A50747" w:rsidR="00A901F5" w:rsidRDefault="00877DAE" w:rsidP="00A901F5">
      <w:pPr>
        <w:spacing w:line="480" w:lineRule="auto"/>
        <w:ind w:firstLine="709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t</w:t>
      </w:r>
      <w:r w:rsidR="004E0D62"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t</w:t>
      </w:r>
      <w:r w:rsidR="008212BC"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di</w:t>
      </w:r>
      <w:r w:rsidR="00F571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>
        <w:rPr>
          <w:rFonts w:ascii="Times New Roman" w:hAnsi="Times New Roman" w:cs="Times New Roman"/>
          <w:sz w:val="24"/>
          <w:szCs w:val="24"/>
        </w:rPr>
        <w:t xml:space="preserve">= 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 w:rsidR="00BA4E78">
        <w:rPr>
          <w:rFonts w:ascii="Times New Roman" w:hAnsi="Times New Roman" w:cs="Times New Roman"/>
          <w:sz w:val="24"/>
          <w:szCs w:val="24"/>
        </w:rPr>
        <w:t>k</w:t>
      </w:r>
      <w:r w:rsidR="00E2588D">
        <w:rPr>
          <w:rFonts w:ascii="Times New Roman" w:hAnsi="Times New Roman" w:cs="Times New Roman"/>
          <w:sz w:val="24"/>
          <w:szCs w:val="24"/>
        </w:rPr>
        <w:t xml:space="preserve"> = </w:t>
      </w:r>
      <w:r w:rsidR="00BA4E78">
        <w:rPr>
          <w:rFonts w:ascii="Times New Roman" w:hAnsi="Times New Roman" w:cs="Times New Roman"/>
          <w:sz w:val="24"/>
          <w:szCs w:val="24"/>
        </w:rPr>
        <w:t>79</w:t>
      </w:r>
      <w:r w:rsidR="00E2588D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sz w:val="24"/>
          <w:szCs w:val="24"/>
        </w:rPr>
        <w:t>–</w:t>
      </w:r>
      <w:r w:rsidR="00E2588D">
        <w:rPr>
          <w:rFonts w:ascii="Times New Roman" w:hAnsi="Times New Roman" w:cs="Times New Roman"/>
          <w:sz w:val="24"/>
          <w:szCs w:val="24"/>
        </w:rPr>
        <w:t xml:space="preserve"> </w:t>
      </w:r>
      <w:r w:rsidR="00BA4E78">
        <w:rPr>
          <w:rFonts w:ascii="Times New Roman" w:hAnsi="Times New Roman" w:cs="Times New Roman"/>
          <w:sz w:val="24"/>
          <w:szCs w:val="24"/>
        </w:rPr>
        <w:t>4</w:t>
      </w:r>
      <w:r w:rsidR="00E2588D">
        <w:rPr>
          <w:rFonts w:ascii="Times New Roman" w:hAnsi="Times New Roman" w:cs="Times New Roman"/>
          <w:sz w:val="24"/>
          <w:szCs w:val="24"/>
        </w:rPr>
        <w:t xml:space="preserve"> = </w:t>
      </w:r>
      <w:r w:rsidR="00BA4E78">
        <w:rPr>
          <w:rFonts w:ascii="Times New Roman" w:hAnsi="Times New Roman" w:cs="Times New Roman"/>
          <w:sz w:val="24"/>
          <w:szCs w:val="24"/>
        </w:rPr>
        <w:t>75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C95FD7">
        <w:rPr>
          <w:rFonts w:ascii="Times New Roman" w:hAnsi="Times New Roman" w:cs="Times New Roman"/>
          <w:sz w:val="24"/>
          <w:szCs w:val="24"/>
        </w:rPr>
        <w:t xml:space="preserve"> 1.665.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F4559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IV.</w:t>
      </w:r>
      <w:r w:rsidR="00374D55">
        <w:rPr>
          <w:rFonts w:ascii="Times New Roman" w:hAnsi="Times New Roman" w:cs="Times New Roman"/>
          <w:sz w:val="24"/>
          <w:szCs w:val="24"/>
        </w:rPr>
        <w:t>7</w:t>
      </w:r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t</w:t>
      </w:r>
      <w:r w:rsidR="005302DC"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1,164 </w:t>
      </w:r>
      <w:r w:rsidR="00F45594">
        <w:rPr>
          <w:rFonts w:ascii="Times New Roman" w:hAnsi="Times New Roman" w:cs="Times New Roman"/>
          <w:sz w:val="24"/>
          <w:szCs w:val="24"/>
        </w:rPr>
        <w:t>dan</w:t>
      </w:r>
      <w:r w:rsidR="00EB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2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0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B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1">
        <w:rPr>
          <w:rFonts w:ascii="Times New Roman" w:hAnsi="Times New Roman" w:cs="Times New Roman"/>
          <w:sz w:val="24"/>
          <w:szCs w:val="24"/>
        </w:rPr>
        <w:t>t</w:t>
      </w:r>
      <w:r w:rsidR="00D52541"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1.</w:t>
      </w:r>
      <w:r w:rsidR="00EB7043">
        <w:rPr>
          <w:rFonts w:ascii="Times New Roman" w:hAnsi="Times New Roman" w:cs="Times New Roman"/>
          <w:sz w:val="24"/>
          <w:szCs w:val="24"/>
        </w:rPr>
        <w:t>6</w:t>
      </w:r>
      <w:r w:rsidR="00D52541">
        <w:rPr>
          <w:rFonts w:ascii="Times New Roman" w:hAnsi="Times New Roman" w:cs="Times New Roman"/>
          <w:sz w:val="24"/>
          <w:szCs w:val="24"/>
        </w:rPr>
        <w:t>6</w:t>
      </w:r>
      <w:r w:rsidR="00EB7043">
        <w:rPr>
          <w:rFonts w:ascii="Times New Roman" w:hAnsi="Times New Roman" w:cs="Times New Roman"/>
          <w:sz w:val="24"/>
          <w:szCs w:val="24"/>
        </w:rPr>
        <w:t>5</w:t>
      </w:r>
      <w:r w:rsidR="00C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234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9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C3B61">
        <w:rPr>
          <w:rFonts w:ascii="Times New Roman" w:hAnsi="Times New Roman" w:cs="Times New Roman"/>
          <w:sz w:val="24"/>
          <w:szCs w:val="24"/>
        </w:rPr>
        <w:t xml:space="preserve"> </w:t>
      </w:r>
      <w:r w:rsidR="00AC3B61">
        <w:rPr>
          <w:rFonts w:ascii="Times New Roman" w:hAnsi="Times New Roman" w:cs="Times New Roman"/>
          <w:i/>
          <w:sz w:val="24"/>
          <w:szCs w:val="24"/>
        </w:rPr>
        <w:t>r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>e</w:t>
      </w:r>
      <w:r w:rsidR="00AC3B61">
        <w:rPr>
          <w:rFonts w:ascii="Times New Roman" w:hAnsi="Times New Roman" w:cs="Times New Roman"/>
          <w:i/>
          <w:sz w:val="24"/>
          <w:szCs w:val="24"/>
        </w:rPr>
        <w:t xml:space="preserve">turn 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>o</w:t>
      </w:r>
      <w:r w:rsidR="00AC3B61">
        <w:rPr>
          <w:rFonts w:ascii="Times New Roman" w:hAnsi="Times New Roman" w:cs="Times New Roman"/>
          <w:i/>
          <w:sz w:val="24"/>
          <w:szCs w:val="24"/>
        </w:rPr>
        <w:t>n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 xml:space="preserve"> equity ratio</w:t>
      </w:r>
      <w:r w:rsidR="0039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A13" w:rsidRPr="00090F20">
        <w:rPr>
          <w:rFonts w:ascii="Times New Roman" w:hAnsi="Times New Roman" w:cs="Times New Roman"/>
          <w:color w:val="FF0000"/>
          <w:sz w:val="24"/>
          <w:szCs w:val="24"/>
        </w:rPr>
        <w:t>ber</w:t>
      </w:r>
      <w:r w:rsidR="005302DC" w:rsidRPr="00090F20">
        <w:rPr>
          <w:rFonts w:ascii="Times New Roman" w:hAnsi="Times New Roman" w:cs="Times New Roman"/>
          <w:color w:val="FF0000"/>
          <w:sz w:val="24"/>
          <w:szCs w:val="24"/>
        </w:rPr>
        <w:t>pengaruh</w:t>
      </w:r>
      <w:proofErr w:type="spellEnd"/>
      <w:r w:rsidR="000518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51821">
        <w:rPr>
          <w:rFonts w:ascii="Times New Roman" w:hAnsi="Times New Roman" w:cs="Times New Roman"/>
          <w:color w:val="FF0000"/>
          <w:sz w:val="24"/>
          <w:szCs w:val="24"/>
        </w:rPr>
        <w:t>positif</w:t>
      </w:r>
      <w:proofErr w:type="spellEnd"/>
      <w:r w:rsidR="00051821">
        <w:rPr>
          <w:rFonts w:ascii="Times New Roman" w:hAnsi="Times New Roman" w:cs="Times New Roman"/>
          <w:color w:val="FF0000"/>
          <w:sz w:val="24"/>
          <w:szCs w:val="24"/>
        </w:rPr>
        <w:t xml:space="preserve"> dan</w:t>
      </w:r>
      <w:r w:rsidR="005302DC" w:rsidRPr="00090F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5302DC" w:rsidRPr="00A81D47">
        <w:rPr>
          <w:rStyle w:val="FontStyle43"/>
          <w:sz w:val="24"/>
          <w:szCs w:val="24"/>
        </w:rPr>
        <w:t>financial distress</w:t>
      </w:r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6431A204" w14:textId="6F08BC94" w:rsidR="007F0E5B" w:rsidRDefault="007F0E5B" w:rsidP="00A901F5">
      <w:pPr>
        <w:spacing w:line="480" w:lineRule="auto"/>
        <w:ind w:firstLine="709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Selanjutnya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10236F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10236F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425D78">
        <w:rPr>
          <w:rStyle w:val="FontStyle43"/>
          <w:i w:val="0"/>
          <w:iCs w:val="0"/>
          <w:sz w:val="24"/>
          <w:szCs w:val="24"/>
        </w:rPr>
        <w:t>analisis</w:t>
      </w:r>
      <w:proofErr w:type="spellEnd"/>
      <w:r w:rsidR="00425D78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quick ratio</w:t>
      </w:r>
      <w:r w:rsidRPr="00A81D47">
        <w:rPr>
          <w:rStyle w:val="FontStyle43"/>
          <w:i w:val="0"/>
          <w:iCs w:val="0"/>
          <w:sz w:val="24"/>
          <w:szCs w:val="24"/>
        </w:rPr>
        <w:t xml:space="preserve"> (QR)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atau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. </w:t>
      </w:r>
    </w:p>
    <w:p w14:paraId="040F7385" w14:textId="62D0B234" w:rsidR="00614DFC" w:rsidRPr="00A81D47" w:rsidRDefault="00614DFC" w:rsidP="00E5689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B90290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Quick Ratio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QR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="00545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4572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="007B19F5" w:rsidRP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EE1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Altman 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Z-</w:t>
      </w:r>
      <w:r w:rsidR="007B19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898"/>
        <w:gridCol w:w="1101"/>
        <w:gridCol w:w="1823"/>
        <w:gridCol w:w="1818"/>
        <w:gridCol w:w="972"/>
        <w:gridCol w:w="924"/>
      </w:tblGrid>
      <w:tr w:rsidR="00614DFC" w:rsidRPr="00862B68" w14:paraId="7DE0C4B6" w14:textId="77777777" w:rsidTr="00A901F5">
        <w:tc>
          <w:tcPr>
            <w:tcW w:w="962" w:type="pct"/>
            <w:vMerge w:val="restart"/>
            <w:tcBorders>
              <w:left w:val="nil"/>
              <w:right w:val="nil"/>
            </w:tcBorders>
            <w:vAlign w:val="center"/>
          </w:tcPr>
          <w:p w14:paraId="5FCF692A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4038" w:type="pct"/>
            <w:gridSpan w:val="6"/>
            <w:tcBorders>
              <w:left w:val="nil"/>
              <w:right w:val="nil"/>
            </w:tcBorders>
          </w:tcPr>
          <w:p w14:paraId="330264C6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614DFC" w:rsidRPr="00862B68" w14:paraId="1DCB7449" w14:textId="77777777" w:rsidTr="00A901F5">
        <w:tc>
          <w:tcPr>
            <w:tcW w:w="96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E77094" w14:textId="77777777" w:rsidR="00614DFC" w:rsidRPr="00862B68" w:rsidRDefault="00614DFC" w:rsidP="00751352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481" w:type="pct"/>
            <w:tcBorders>
              <w:left w:val="nil"/>
              <w:right w:val="nil"/>
            </w:tcBorders>
            <w:vAlign w:val="center"/>
          </w:tcPr>
          <w:p w14:paraId="73D6BE58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590" w:type="pct"/>
            <w:tcBorders>
              <w:left w:val="nil"/>
              <w:right w:val="nil"/>
            </w:tcBorders>
            <w:vAlign w:val="center"/>
          </w:tcPr>
          <w:p w14:paraId="10513B58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977" w:type="pct"/>
            <w:tcBorders>
              <w:left w:val="nil"/>
              <w:right w:val="nil"/>
            </w:tcBorders>
            <w:vAlign w:val="center"/>
          </w:tcPr>
          <w:p w14:paraId="175E5EBC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974" w:type="pct"/>
            <w:tcBorders>
              <w:left w:val="nil"/>
              <w:right w:val="nil"/>
            </w:tcBorders>
            <w:vAlign w:val="center"/>
          </w:tcPr>
          <w:p w14:paraId="1A651BE1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521" w:type="pct"/>
            <w:tcBorders>
              <w:left w:val="nil"/>
              <w:right w:val="nil"/>
            </w:tcBorders>
            <w:vAlign w:val="center"/>
          </w:tcPr>
          <w:p w14:paraId="33EB4874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494" w:type="pct"/>
            <w:tcBorders>
              <w:left w:val="nil"/>
              <w:right w:val="nil"/>
            </w:tcBorders>
            <w:vAlign w:val="center"/>
          </w:tcPr>
          <w:p w14:paraId="64474914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614DFC" w:rsidRPr="00862B68" w14:paraId="6D70BFC3" w14:textId="77777777" w:rsidTr="00A901F5">
        <w:tc>
          <w:tcPr>
            <w:tcW w:w="96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8DD34" w14:textId="56DDC14F" w:rsidR="00614DFC" w:rsidRPr="00862B68" w:rsidRDefault="007B229D" w:rsidP="00751352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 w:rsidR="000B1749" w:rsidRPr="00862B68">
              <w:rPr>
                <w:rFonts w:ascii="Times New Roman" w:hAnsi="Times New Roman" w:cs="Times New Roman"/>
                <w:lang w:val="en-US"/>
              </w:rPr>
              <w:t xml:space="preserve"> (QR)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8ACEB6" w14:textId="621402F9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0,342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28E625" w14:textId="691C082B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0.117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204F7" w14:textId="68464182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0,026</w:t>
            </w:r>
          </w:p>
        </w:tc>
        <w:tc>
          <w:tcPr>
            <w:tcW w:w="9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554462" w14:textId="54ECFE38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0.444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2D367A" w14:textId="372CB0B9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8F95C0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614DFC" w:rsidRPr="00862B68" w14:paraId="682DB1B5" w14:textId="77777777" w:rsidTr="00A901F5"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197993F4" w14:textId="77777777" w:rsidR="00614DFC" w:rsidRPr="00862B68" w:rsidRDefault="00614DFC" w:rsidP="0075135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614DFC" w:rsidRPr="00862B68" w14:paraId="029B73D0" w14:textId="77777777" w:rsidTr="00A901F5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3C076431" w14:textId="2FA4A81E" w:rsidR="00614DFC" w:rsidRPr="00862B68" w:rsidRDefault="00614DFC" w:rsidP="0075135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6D3DE5" w:rsidRPr="00862B68">
              <w:rPr>
                <w:rFonts w:ascii="Times New Roman" w:hAnsi="Times New Roman" w:cs="Times New Roman"/>
                <w:lang w:val="en-US"/>
              </w:rPr>
              <w:t>3,197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 xml:space="preserve"> 1,665</w:t>
            </w:r>
          </w:p>
        </w:tc>
      </w:tr>
    </w:tbl>
    <w:p w14:paraId="59D251A4" w14:textId="32982588" w:rsidR="000F4C2F" w:rsidRDefault="00071E0B" w:rsidP="00441A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5D509863" w14:textId="3BA918BA" w:rsidR="00E2588D" w:rsidRPr="00A81D47" w:rsidRDefault="00614DFC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A6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A6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0A62F0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0A62F0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 w:rsidR="00D14E8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258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7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347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E2588D">
        <w:rPr>
          <w:rFonts w:ascii="Times New Roman" w:hAnsi="Times New Roman" w:cs="Times New Roman"/>
          <w:sz w:val="24"/>
          <w:szCs w:val="24"/>
          <w:lang w:val="en-US"/>
        </w:rPr>
        <w:t>342</w:t>
      </w:r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88D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64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="00E2588D"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0.</w:t>
      </w:r>
      <w:r w:rsidR="00790CEC">
        <w:rPr>
          <w:rFonts w:ascii="Times New Roman" w:hAnsi="Times New Roman" w:cs="Times New Roman"/>
          <w:sz w:val="24"/>
          <w:szCs w:val="24"/>
        </w:rPr>
        <w:t>1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A689C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1</w:t>
      </w:r>
      <w:r w:rsidR="00790CEC">
        <w:rPr>
          <w:rFonts w:ascii="Times New Roman" w:hAnsi="Times New Roman" w:cs="Times New Roman"/>
          <w:sz w:val="24"/>
          <w:szCs w:val="24"/>
        </w:rPr>
        <w:t>1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,70%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E733D">
        <w:rPr>
          <w:rFonts w:ascii="Times New Roman" w:hAnsi="Times New Roman" w:cs="Times New Roman"/>
          <w:sz w:val="24"/>
          <w:szCs w:val="24"/>
        </w:rPr>
        <w:t>88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,30%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>.</w:t>
      </w:r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12EB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12EB8">
        <w:rPr>
          <w:rFonts w:ascii="Times New Roman" w:hAnsi="Times New Roman" w:cs="Times New Roman"/>
          <w:sz w:val="24"/>
          <w:szCs w:val="24"/>
        </w:rPr>
        <w:t xml:space="preserve"> </w:t>
      </w:r>
      <w:r w:rsidR="0092624C">
        <w:rPr>
          <w:rFonts w:ascii="Times New Roman" w:hAnsi="Times New Roman" w:cs="Times New Roman"/>
          <w:sz w:val="24"/>
          <w:szCs w:val="24"/>
        </w:rPr>
        <w:t xml:space="preserve">0,002 </w:t>
      </w:r>
      <w:r w:rsidR="00412EB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r w:rsidR="0092624C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2624C">
        <w:rPr>
          <w:rFonts w:ascii="Times New Roman" w:hAnsi="Times New Roman" w:cs="Times New Roman"/>
          <w:sz w:val="24"/>
          <w:szCs w:val="24"/>
        </w:rPr>
        <w:t>.</w:t>
      </w:r>
    </w:p>
    <w:p w14:paraId="3829F512" w14:textId="77777777" w:rsidR="00745D76" w:rsidRDefault="0029151A" w:rsidP="005C7C16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81D47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0FCE5" w14:textId="0A534926" w:rsidR="0029151A" w:rsidRDefault="00E2588D" w:rsidP="000E73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47">
        <w:rPr>
          <w:rFonts w:ascii="Times New Roman" w:hAnsi="Times New Roman" w:cs="Times New Roman"/>
          <w:sz w:val="24"/>
          <w:szCs w:val="24"/>
        </w:rPr>
        <w:t xml:space="preserve">Y </w:t>
      </w:r>
      <w:r w:rsidR="00FF2CC3" w:rsidRPr="00A81D47">
        <w:rPr>
          <w:rFonts w:ascii="Times New Roman" w:hAnsi="Times New Roman" w:cs="Times New Roman"/>
          <w:sz w:val="24"/>
          <w:szCs w:val="24"/>
        </w:rPr>
        <w:t>=</w:t>
      </w:r>
      <w:r w:rsidR="00FF2CC3">
        <w:rPr>
          <w:rFonts w:ascii="Times New Roman" w:hAnsi="Times New Roman" w:cs="Times New Roman"/>
          <w:sz w:val="24"/>
          <w:szCs w:val="24"/>
        </w:rPr>
        <w:t xml:space="preserve"> a + b</w:t>
      </w:r>
      <w:r w:rsidR="008F2756">
        <w:rPr>
          <w:rFonts w:ascii="Times New Roman" w:hAnsi="Times New Roman" w:cs="Times New Roman"/>
          <w:sz w:val="24"/>
          <w:szCs w:val="24"/>
        </w:rPr>
        <w:t>X</w:t>
      </w:r>
      <w:r w:rsidR="00664DC0" w:rsidRPr="00664D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2CC3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= 0,</w:t>
      </w:r>
      <w:r w:rsidR="00E21E14">
        <w:rPr>
          <w:rFonts w:ascii="Times New Roman" w:hAnsi="Times New Roman" w:cs="Times New Roman"/>
          <w:sz w:val="24"/>
          <w:szCs w:val="24"/>
        </w:rPr>
        <w:t>026</w:t>
      </w:r>
      <w:r w:rsidRPr="00A81D47">
        <w:rPr>
          <w:rFonts w:ascii="Times New Roman" w:hAnsi="Times New Roman" w:cs="Times New Roman"/>
          <w:sz w:val="24"/>
          <w:szCs w:val="24"/>
        </w:rPr>
        <w:t xml:space="preserve"> + 0,</w:t>
      </w:r>
      <w:r w:rsidR="00E21E14">
        <w:rPr>
          <w:rFonts w:ascii="Times New Roman" w:hAnsi="Times New Roman" w:cs="Times New Roman"/>
          <w:sz w:val="24"/>
          <w:szCs w:val="24"/>
        </w:rPr>
        <w:t>444</w:t>
      </w:r>
      <w:r w:rsidRPr="00A81D47">
        <w:rPr>
          <w:rFonts w:ascii="Times New Roman" w:hAnsi="Times New Roman" w:cs="Times New Roman"/>
          <w:sz w:val="24"/>
          <w:szCs w:val="24"/>
        </w:rPr>
        <w:t>X</w:t>
      </w:r>
      <w:r w:rsidR="00E21E1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8AFC4BD" w14:textId="77777777" w:rsidR="00745D76" w:rsidRDefault="0029151A" w:rsidP="00745D7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A689C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882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BA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89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D90DFD">
        <w:rPr>
          <w:rFonts w:ascii="Times New Roman" w:hAnsi="Times New Roman" w:cs="Times New Roman"/>
          <w:sz w:val="24"/>
          <w:szCs w:val="24"/>
        </w:rPr>
        <w:t>026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9C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1EB5">
        <w:rPr>
          <w:rFonts w:ascii="Times New Roman" w:hAnsi="Times New Roman" w:cs="Times New Roman"/>
          <w:sz w:val="24"/>
          <w:szCs w:val="24"/>
        </w:rPr>
        <w:t xml:space="preserve"> </w:t>
      </w:r>
      <w:r w:rsidR="0036731D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D90DFD">
        <w:rPr>
          <w:rFonts w:ascii="Times New Roman" w:hAnsi="Times New Roman" w:cs="Times New Roman"/>
          <w:sz w:val="24"/>
          <w:szCs w:val="24"/>
        </w:rPr>
        <w:t>444</w:t>
      </w:r>
      <w:r w:rsidR="00E23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23E8D">
        <w:rPr>
          <w:rFonts w:ascii="Times New Roman" w:hAnsi="Times New Roman" w:cs="Times New Roman"/>
          <w:sz w:val="24"/>
          <w:szCs w:val="24"/>
        </w:rPr>
        <w:t xml:space="preserve"> </w:t>
      </w:r>
      <w:r w:rsidR="00E23E8D" w:rsidRPr="00A86933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E23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3E8D">
        <w:rPr>
          <w:rFonts w:ascii="Times New Roman" w:hAnsi="Times New Roman" w:cs="Times New Roman"/>
          <w:sz w:val="24"/>
          <w:szCs w:val="24"/>
        </w:rPr>
        <w:t xml:space="preserve"> 0,444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65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F9E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A8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9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6731D">
        <w:rPr>
          <w:rFonts w:ascii="Times New Roman" w:hAnsi="Times New Roman" w:cs="Times New Roman"/>
          <w:i/>
          <w:iCs/>
          <w:sz w:val="24"/>
          <w:szCs w:val="24"/>
        </w:rPr>
        <w:t xml:space="preserve">quick ratio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9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BA7C20">
        <w:rPr>
          <w:rFonts w:ascii="Times New Roman" w:hAnsi="Times New Roman" w:cs="Times New Roman"/>
          <w:sz w:val="24"/>
          <w:szCs w:val="24"/>
        </w:rPr>
        <w:t>444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72475048" w14:textId="74F4C4A0" w:rsidR="00745D76" w:rsidRDefault="00C94A63" w:rsidP="00745D76">
      <w:pPr>
        <w:spacing w:line="480" w:lineRule="auto"/>
        <w:ind w:firstLine="709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α = 0,05. Nilai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t</w:t>
      </w:r>
      <w:r w:rsidR="002E7C2F"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699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2E7C2F">
        <w:rPr>
          <w:rFonts w:ascii="Times New Roman" w:hAnsi="Times New Roman" w:cs="Times New Roman"/>
          <w:sz w:val="24"/>
          <w:szCs w:val="24"/>
        </w:rPr>
        <w:t xml:space="preserve">= </w:t>
      </w:r>
      <w:r w:rsidR="002E7C2F"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 w:rsidR="002E7C2F">
        <w:rPr>
          <w:rFonts w:ascii="Times New Roman" w:hAnsi="Times New Roman" w:cs="Times New Roman"/>
          <w:sz w:val="24"/>
          <w:szCs w:val="24"/>
        </w:rPr>
        <w:t xml:space="preserve">k = 79 </w:t>
      </w:r>
      <w:r w:rsidR="002E7C2F" w:rsidRPr="00A81D47">
        <w:rPr>
          <w:rFonts w:ascii="Times New Roman" w:hAnsi="Times New Roman" w:cs="Times New Roman"/>
          <w:sz w:val="24"/>
          <w:szCs w:val="24"/>
        </w:rPr>
        <w:t>–</w:t>
      </w:r>
      <w:r w:rsidR="002E7C2F">
        <w:rPr>
          <w:rFonts w:ascii="Times New Roman" w:hAnsi="Times New Roman" w:cs="Times New Roman"/>
          <w:sz w:val="24"/>
          <w:szCs w:val="24"/>
        </w:rPr>
        <w:t xml:space="preserve"> 4 = 75</w:t>
      </w:r>
      <w:r w:rsidR="002E7C2F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1.665.</w:t>
      </w:r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 w:rsidR="003E1EF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9D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>
        <w:rPr>
          <w:rFonts w:ascii="Times New Roman" w:hAnsi="Times New Roman" w:cs="Times New Roman"/>
          <w:sz w:val="24"/>
          <w:szCs w:val="24"/>
        </w:rPr>
        <w:t>t</w:t>
      </w:r>
      <w:r w:rsidR="002E7C2F"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1.665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86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r w:rsidR="002E7C2F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090F20">
        <w:rPr>
          <w:rFonts w:ascii="Times New Roman" w:hAnsi="Times New Roman" w:cs="Times New Roman"/>
          <w:color w:val="FF0000"/>
          <w:sz w:val="24"/>
          <w:szCs w:val="24"/>
        </w:rPr>
        <w:t>berpengaruh</w:t>
      </w:r>
      <w:proofErr w:type="spellEnd"/>
      <w:r w:rsidR="008865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65BE">
        <w:rPr>
          <w:rFonts w:ascii="Times New Roman" w:hAnsi="Times New Roman" w:cs="Times New Roman"/>
          <w:color w:val="FF0000"/>
          <w:sz w:val="24"/>
          <w:szCs w:val="24"/>
        </w:rPr>
        <w:t>positif</w:t>
      </w:r>
      <w:proofErr w:type="spellEnd"/>
      <w:r w:rsidR="008865BE">
        <w:rPr>
          <w:rFonts w:ascii="Times New Roman" w:hAnsi="Times New Roman" w:cs="Times New Roman"/>
          <w:color w:val="FF0000"/>
          <w:sz w:val="24"/>
          <w:szCs w:val="24"/>
        </w:rPr>
        <w:t xml:space="preserve"> dan</w:t>
      </w:r>
      <w:r w:rsidR="002E7C2F" w:rsidRPr="00090F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7C2F"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2E7C2F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2E7C2F" w:rsidRPr="00A81D47">
        <w:rPr>
          <w:rStyle w:val="FontStyle43"/>
          <w:sz w:val="24"/>
          <w:szCs w:val="24"/>
        </w:rPr>
        <w:t>financial distress</w:t>
      </w:r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2E7C2F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E2588D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332ED361" w14:textId="73F0A719" w:rsidR="00614DFC" w:rsidRDefault="00B274EB" w:rsidP="00745D7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Selanjutnya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hasil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analisis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>
        <w:rPr>
          <w:rStyle w:val="FontStyle43"/>
          <w:sz w:val="24"/>
          <w:szCs w:val="24"/>
        </w:rPr>
        <w:t>debt to equity</w:t>
      </w:r>
      <w:r w:rsidRPr="00A81D47">
        <w:rPr>
          <w:rStyle w:val="FontStyle43"/>
          <w:sz w:val="24"/>
          <w:szCs w:val="24"/>
        </w:rPr>
        <w:t xml:space="preserve"> ratio</w:t>
      </w:r>
      <w:r w:rsidRPr="00A81D47">
        <w:rPr>
          <w:rStyle w:val="FontStyle43"/>
          <w:i w:val="0"/>
          <w:iCs w:val="0"/>
          <w:sz w:val="24"/>
          <w:szCs w:val="24"/>
        </w:rPr>
        <w:t xml:space="preserve"> (</w:t>
      </w:r>
      <w:r>
        <w:rPr>
          <w:rStyle w:val="FontStyle43"/>
          <w:i w:val="0"/>
          <w:iCs w:val="0"/>
          <w:sz w:val="24"/>
          <w:szCs w:val="24"/>
        </w:rPr>
        <w:t>DE</w:t>
      </w:r>
      <w:r w:rsidRPr="00A81D47">
        <w:rPr>
          <w:rStyle w:val="FontStyle43"/>
          <w:i w:val="0"/>
          <w:iCs w:val="0"/>
          <w:sz w:val="24"/>
          <w:szCs w:val="24"/>
        </w:rPr>
        <w:t xml:space="preserve">R) </w:t>
      </w:r>
      <w:proofErr w:type="spellStart"/>
      <w:r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atau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E258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EF7CF" w14:textId="77777777" w:rsidR="00D206DE" w:rsidRDefault="00D206DE" w:rsidP="00745D7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EF513E" w14:textId="0FCDC06D" w:rsidR="007F2332" w:rsidRPr="007B19F5" w:rsidRDefault="007F2332" w:rsidP="00F47F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7A3ECD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4D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Debt to Equity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Ratio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8D656A">
        <w:rPr>
          <w:rFonts w:ascii="Times New Roman" w:hAnsi="Times New Roman" w:cs="Times New Roman"/>
          <w:b/>
          <w:bCs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015A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Altman 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Z-</w:t>
      </w:r>
      <w:r w:rsidR="007B19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898"/>
        <w:gridCol w:w="1101"/>
        <w:gridCol w:w="1823"/>
        <w:gridCol w:w="1818"/>
        <w:gridCol w:w="972"/>
        <w:gridCol w:w="924"/>
      </w:tblGrid>
      <w:tr w:rsidR="007F2332" w:rsidRPr="00862B68" w14:paraId="26B70A12" w14:textId="77777777" w:rsidTr="00745D76">
        <w:tc>
          <w:tcPr>
            <w:tcW w:w="962" w:type="pct"/>
            <w:vMerge w:val="restart"/>
            <w:tcBorders>
              <w:left w:val="nil"/>
              <w:right w:val="nil"/>
            </w:tcBorders>
            <w:vAlign w:val="center"/>
          </w:tcPr>
          <w:p w14:paraId="770C7E1A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4038" w:type="pct"/>
            <w:gridSpan w:val="6"/>
            <w:tcBorders>
              <w:left w:val="nil"/>
              <w:right w:val="nil"/>
            </w:tcBorders>
          </w:tcPr>
          <w:p w14:paraId="354EAFB2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833521" w:rsidRPr="00862B68" w14:paraId="26D19C13" w14:textId="77777777" w:rsidTr="00745D76">
        <w:tc>
          <w:tcPr>
            <w:tcW w:w="962" w:type="pct"/>
            <w:vMerge/>
            <w:tcBorders>
              <w:left w:val="nil"/>
              <w:right w:val="nil"/>
            </w:tcBorders>
            <w:vAlign w:val="center"/>
          </w:tcPr>
          <w:p w14:paraId="570A162D" w14:textId="77777777" w:rsidR="007F2332" w:rsidRPr="00862B68" w:rsidRDefault="007F2332" w:rsidP="00751352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481" w:type="pct"/>
            <w:tcBorders>
              <w:left w:val="nil"/>
              <w:right w:val="nil"/>
            </w:tcBorders>
            <w:vAlign w:val="center"/>
          </w:tcPr>
          <w:p w14:paraId="39019AAF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590" w:type="pct"/>
            <w:tcBorders>
              <w:left w:val="nil"/>
              <w:right w:val="nil"/>
            </w:tcBorders>
            <w:vAlign w:val="center"/>
          </w:tcPr>
          <w:p w14:paraId="0D97F95A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977" w:type="pct"/>
            <w:tcBorders>
              <w:left w:val="nil"/>
              <w:right w:val="nil"/>
            </w:tcBorders>
            <w:vAlign w:val="center"/>
          </w:tcPr>
          <w:p w14:paraId="1A45BA01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974" w:type="pct"/>
            <w:tcBorders>
              <w:left w:val="nil"/>
              <w:right w:val="nil"/>
            </w:tcBorders>
            <w:vAlign w:val="center"/>
          </w:tcPr>
          <w:p w14:paraId="7FFD76B3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521" w:type="pct"/>
            <w:tcBorders>
              <w:left w:val="nil"/>
              <w:right w:val="nil"/>
            </w:tcBorders>
            <w:vAlign w:val="center"/>
          </w:tcPr>
          <w:p w14:paraId="39BFB607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494" w:type="pct"/>
            <w:tcBorders>
              <w:left w:val="nil"/>
              <w:right w:val="nil"/>
            </w:tcBorders>
            <w:vAlign w:val="center"/>
          </w:tcPr>
          <w:p w14:paraId="0AB6EDE8" w14:textId="5C86EEFB" w:rsidR="007F2332" w:rsidRPr="00862B68" w:rsidRDefault="00714B00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α</w:t>
            </w:r>
          </w:p>
        </w:tc>
      </w:tr>
      <w:tr w:rsidR="00833521" w:rsidRPr="00862B68" w14:paraId="5A3809E7" w14:textId="77777777" w:rsidTr="00745D76">
        <w:tc>
          <w:tcPr>
            <w:tcW w:w="96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5D409F" w14:textId="501CB55E" w:rsidR="007F2332" w:rsidRPr="00862B68" w:rsidRDefault="00B30BEC" w:rsidP="00751352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Debt to Equity</w:t>
            </w:r>
            <w:r w:rsidR="007F2332" w:rsidRPr="00862B6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Ratio</w:t>
            </w:r>
            <w:r w:rsidR="00825ABD" w:rsidRPr="00862B68">
              <w:rPr>
                <w:rFonts w:ascii="Times New Roman" w:hAnsi="Times New Roman" w:cs="Times New Roman"/>
                <w:lang w:val="en-US"/>
              </w:rPr>
              <w:t xml:space="preserve"> (DER)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84E4AF" w14:textId="447A493C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45EE02" w14:textId="602B1A96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018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893CD" w14:textId="161A5A61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463</w:t>
            </w:r>
          </w:p>
        </w:tc>
        <w:tc>
          <w:tcPr>
            <w:tcW w:w="9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AE77B" w14:textId="46F1054B" w:rsidR="007F2332" w:rsidRPr="00862B68" w:rsidRDefault="00CC35CA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-</w:t>
            </w:r>
            <w:r w:rsidR="007F2332" w:rsidRPr="00862B68">
              <w:rPr>
                <w:rFonts w:ascii="Times New Roman" w:hAnsi="Times New Roman" w:cs="Times New Roman"/>
                <w:lang w:val="en-US"/>
              </w:rPr>
              <w:t>0.</w:t>
            </w:r>
            <w:r w:rsidRPr="00862B68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EF2284" w14:textId="60F38B41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0,2</w:t>
            </w:r>
            <w:r w:rsidR="00472DEB" w:rsidRPr="00862B68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0BEAB5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7F2332" w:rsidRPr="00862B68" w14:paraId="757F1013" w14:textId="77777777" w:rsidTr="00745D76"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E0CF57" w14:textId="77777777" w:rsidR="007F2332" w:rsidRPr="00862B68" w:rsidRDefault="007F2332" w:rsidP="0075135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7F2332" w:rsidRPr="00862B68" w14:paraId="45DC2DC0" w14:textId="77777777" w:rsidTr="00745D76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26989015" w14:textId="6AC8217A" w:rsidR="007F2332" w:rsidRPr="00862B68" w:rsidRDefault="007F2332" w:rsidP="0075135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-1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,197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 xml:space="preserve"> 1,665</w:t>
            </w:r>
          </w:p>
        </w:tc>
      </w:tr>
    </w:tbl>
    <w:p w14:paraId="0C17E66B" w14:textId="25CB6924" w:rsidR="007F2332" w:rsidRDefault="006F7A20" w:rsidP="00745D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41082118" w14:textId="78D63E04" w:rsidR="00D249D6" w:rsidRPr="00A81D47" w:rsidRDefault="00D249D6" w:rsidP="00745D7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9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9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095386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095386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 w:rsidR="003B2023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8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347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CC35CA">
        <w:rPr>
          <w:rFonts w:ascii="Times New Roman" w:hAnsi="Times New Roman" w:cs="Times New Roman"/>
          <w:sz w:val="24"/>
          <w:szCs w:val="24"/>
          <w:lang w:val="en-US"/>
        </w:rPr>
        <w:t>135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35CA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6062D">
        <w:rPr>
          <w:rFonts w:ascii="Times New Roman" w:hAnsi="Times New Roman" w:cs="Times New Roman"/>
          <w:i/>
          <w:sz w:val="24"/>
          <w:szCs w:val="24"/>
        </w:rPr>
        <w:t xml:space="preserve">debt to </w:t>
      </w:r>
      <w:proofErr w:type="spellStart"/>
      <w:r w:rsidR="00F6062D">
        <w:rPr>
          <w:rFonts w:ascii="Times New Roman" w:hAnsi="Times New Roman" w:cs="Times New Roman"/>
          <w:i/>
          <w:sz w:val="24"/>
          <w:szCs w:val="24"/>
        </w:rPr>
        <w:t>eqity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>.</w:t>
      </w:r>
      <w:r w:rsidR="00472DEB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0.</w:t>
      </w:r>
      <w:r w:rsidR="00B27192">
        <w:rPr>
          <w:rFonts w:ascii="Times New Roman" w:hAnsi="Times New Roman" w:cs="Times New Roman"/>
          <w:sz w:val="24"/>
          <w:szCs w:val="24"/>
        </w:rPr>
        <w:t>018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86278">
        <w:rPr>
          <w:rFonts w:ascii="Times New Roman" w:hAnsi="Times New Roman" w:cs="Times New Roman"/>
          <w:i/>
          <w:sz w:val="24"/>
          <w:szCs w:val="24"/>
        </w:rPr>
        <w:t xml:space="preserve">debt to </w:t>
      </w:r>
      <w:proofErr w:type="spellStart"/>
      <w:r w:rsidR="00C86278">
        <w:rPr>
          <w:rFonts w:ascii="Times New Roman" w:hAnsi="Times New Roman" w:cs="Times New Roman"/>
          <w:i/>
          <w:sz w:val="24"/>
          <w:szCs w:val="24"/>
        </w:rPr>
        <w:t>eqity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81D47">
        <w:rPr>
          <w:rFonts w:ascii="Times New Roman" w:hAnsi="Times New Roman" w:cs="Times New Roman"/>
          <w:sz w:val="24"/>
          <w:szCs w:val="24"/>
        </w:rPr>
        <w:t>,</w:t>
      </w:r>
      <w:r w:rsidR="00B27192">
        <w:rPr>
          <w:rFonts w:ascii="Times New Roman" w:hAnsi="Times New Roman" w:cs="Times New Roman"/>
          <w:sz w:val="24"/>
          <w:szCs w:val="24"/>
        </w:rPr>
        <w:t>8</w:t>
      </w:r>
      <w:r w:rsidRPr="00A81D47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B2719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81D47">
        <w:rPr>
          <w:rFonts w:ascii="Times New Roman" w:hAnsi="Times New Roman" w:cs="Times New Roman"/>
          <w:sz w:val="24"/>
          <w:szCs w:val="24"/>
        </w:rPr>
        <w:t>,</w:t>
      </w:r>
      <w:r w:rsidR="00B27192">
        <w:rPr>
          <w:rFonts w:ascii="Times New Roman" w:hAnsi="Times New Roman" w:cs="Times New Roman"/>
          <w:sz w:val="24"/>
          <w:szCs w:val="24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>.</w:t>
      </w:r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>)</w:t>
      </w:r>
      <w:r w:rsidR="003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0,235 </w:t>
      </w:r>
      <w:r w:rsidR="003274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274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743F">
        <w:rPr>
          <w:rFonts w:ascii="Times New Roman" w:hAnsi="Times New Roman" w:cs="Times New Roman"/>
          <w:sz w:val="24"/>
          <w:szCs w:val="24"/>
        </w:rPr>
        <w:t xml:space="preserve"> Sig</w:t>
      </w:r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r w:rsidR="000222B7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0222B7">
        <w:rPr>
          <w:rFonts w:ascii="Times New Roman" w:hAnsi="Times New Roman" w:cs="Times New Roman"/>
          <w:sz w:val="24"/>
          <w:szCs w:val="24"/>
        </w:rPr>
        <w:t>.</w:t>
      </w:r>
    </w:p>
    <w:p w14:paraId="76F64585" w14:textId="2F1B44C4" w:rsidR="004D72BE" w:rsidRDefault="004D72BE" w:rsidP="000E731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249D6" w:rsidRPr="00A81D47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E70F0A" w14:textId="494E483C" w:rsidR="004D72BE" w:rsidRDefault="00D249D6" w:rsidP="000E73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47">
        <w:rPr>
          <w:rFonts w:ascii="Times New Roman" w:hAnsi="Times New Roman" w:cs="Times New Roman"/>
          <w:sz w:val="24"/>
          <w:szCs w:val="24"/>
        </w:rPr>
        <w:t>Y</w:t>
      </w:r>
      <w:r w:rsidR="006A5282">
        <w:rPr>
          <w:rFonts w:ascii="Times New Roman" w:hAnsi="Times New Roman" w:cs="Times New Roman"/>
          <w:sz w:val="24"/>
          <w:szCs w:val="24"/>
        </w:rPr>
        <w:t xml:space="preserve"> </w:t>
      </w:r>
      <w:r w:rsidR="006A5282" w:rsidRPr="00A81D47">
        <w:rPr>
          <w:rFonts w:ascii="Times New Roman" w:hAnsi="Times New Roman" w:cs="Times New Roman"/>
          <w:sz w:val="24"/>
          <w:szCs w:val="24"/>
        </w:rPr>
        <w:t>=</w:t>
      </w:r>
      <w:r w:rsidR="006A5282">
        <w:rPr>
          <w:rFonts w:ascii="Times New Roman" w:hAnsi="Times New Roman" w:cs="Times New Roman"/>
          <w:sz w:val="24"/>
          <w:szCs w:val="24"/>
        </w:rPr>
        <w:t xml:space="preserve"> a + b</w:t>
      </w:r>
      <w:r w:rsidR="00664DC0">
        <w:rPr>
          <w:rFonts w:ascii="Times New Roman" w:hAnsi="Times New Roman" w:cs="Times New Roman"/>
          <w:sz w:val="24"/>
          <w:szCs w:val="24"/>
        </w:rPr>
        <w:t>X</w:t>
      </w:r>
      <w:r w:rsidR="00664DC0" w:rsidRPr="00664D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 xml:space="preserve"> =</w:t>
      </w:r>
      <w:r w:rsidR="00555648">
        <w:rPr>
          <w:rFonts w:ascii="Times New Roman" w:hAnsi="Times New Roman" w:cs="Times New Roman"/>
          <w:sz w:val="24"/>
          <w:szCs w:val="24"/>
        </w:rPr>
        <w:t xml:space="preserve"> 0,463 </w:t>
      </w:r>
      <w:r w:rsidR="00555648" w:rsidRPr="00A81D47">
        <w:rPr>
          <w:rFonts w:ascii="Times New Roman" w:hAnsi="Times New Roman" w:cs="Times New Roman"/>
          <w:sz w:val="24"/>
          <w:szCs w:val="24"/>
        </w:rPr>
        <w:t>–</w:t>
      </w:r>
      <w:r w:rsidR="00555648">
        <w:rPr>
          <w:rFonts w:ascii="Times New Roman" w:hAnsi="Times New Roman" w:cs="Times New Roman"/>
          <w:sz w:val="24"/>
          <w:szCs w:val="24"/>
        </w:rPr>
        <w:t xml:space="preserve"> 0,001</w:t>
      </w:r>
      <w:r w:rsidRPr="00A81D47">
        <w:rPr>
          <w:rFonts w:ascii="Times New Roman" w:hAnsi="Times New Roman" w:cs="Times New Roman"/>
          <w:sz w:val="24"/>
          <w:szCs w:val="24"/>
        </w:rPr>
        <w:t>X</w:t>
      </w:r>
      <w:r w:rsidR="006B120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4B8D89A5" w14:textId="77777777" w:rsidR="00540090" w:rsidRDefault="004D72BE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B1203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696">
        <w:rPr>
          <w:rFonts w:ascii="Times New Roman" w:hAnsi="Times New Roman" w:cs="Times New Roman"/>
          <w:sz w:val="24"/>
          <w:szCs w:val="24"/>
        </w:rPr>
        <w:t>nega</w:t>
      </w:r>
      <w:r w:rsidR="00D249D6" w:rsidRPr="00A81D47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249D6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A1A8C">
        <w:rPr>
          <w:rFonts w:ascii="Times New Roman" w:hAnsi="Times New Roman" w:cs="Times New Roman"/>
          <w:sz w:val="24"/>
          <w:szCs w:val="24"/>
        </w:rPr>
        <w:t>0,463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9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666B">
        <w:rPr>
          <w:rFonts w:ascii="Times New Roman" w:hAnsi="Times New Roman" w:cs="Times New Roman"/>
          <w:sz w:val="24"/>
          <w:szCs w:val="24"/>
        </w:rPr>
        <w:t xml:space="preserve"> </w:t>
      </w:r>
      <w:r w:rsidR="006B1203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249D6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D07C3">
        <w:rPr>
          <w:rFonts w:ascii="Times New Roman" w:hAnsi="Times New Roman" w:cs="Times New Roman"/>
          <w:sz w:val="24"/>
          <w:szCs w:val="24"/>
        </w:rPr>
        <w:t>0.</w:t>
      </w:r>
      <w:r w:rsidR="001D7A3B">
        <w:rPr>
          <w:rFonts w:ascii="Times New Roman" w:hAnsi="Times New Roman" w:cs="Times New Roman"/>
          <w:sz w:val="24"/>
          <w:szCs w:val="24"/>
        </w:rPr>
        <w:t xml:space="preserve">463. </w:t>
      </w:r>
      <w:proofErr w:type="spellStart"/>
      <w:r w:rsidR="001D7A3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1D7A3B">
        <w:rPr>
          <w:rFonts w:ascii="Times New Roman" w:hAnsi="Times New Roman" w:cs="Times New Roman"/>
          <w:sz w:val="24"/>
          <w:szCs w:val="24"/>
        </w:rPr>
        <w:t xml:space="preserve"> </w:t>
      </w:r>
      <w:r w:rsidR="001D7A3B" w:rsidRPr="001D7A3B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1D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A3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D7A3B">
        <w:rPr>
          <w:rFonts w:ascii="Times New Roman" w:hAnsi="Times New Roman" w:cs="Times New Roman"/>
          <w:sz w:val="24"/>
          <w:szCs w:val="24"/>
        </w:rPr>
        <w:t xml:space="preserve"> -0,001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6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6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4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43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95069D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D249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249D6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C3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72D6C">
        <w:rPr>
          <w:rFonts w:ascii="Times New Roman" w:hAnsi="Times New Roman" w:cs="Times New Roman"/>
          <w:sz w:val="24"/>
          <w:szCs w:val="24"/>
        </w:rPr>
        <w:t>0,001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6696C4C8" w14:textId="0984E952" w:rsidR="00D249D6" w:rsidRPr="00A81D47" w:rsidRDefault="00C73DC9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B4DC4">
        <w:rPr>
          <w:rFonts w:ascii="Times New Roman" w:hAnsi="Times New Roman" w:cs="Times New Roman"/>
          <w:i/>
          <w:iCs/>
          <w:sz w:val="24"/>
          <w:szCs w:val="24"/>
        </w:rPr>
        <w:t xml:space="preserve">debt to equity </w:t>
      </w:r>
      <w:r>
        <w:rPr>
          <w:rFonts w:ascii="Times New Roman" w:hAnsi="Times New Roman" w:cs="Times New Roman"/>
          <w:i/>
          <w:iCs/>
          <w:sz w:val="24"/>
          <w:szCs w:val="24"/>
        </w:rPr>
        <w:t>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>
        <w:rPr>
          <w:rFonts w:ascii="Times New Roman" w:hAnsi="Times New Roman" w:cs="Times New Roman"/>
          <w:sz w:val="24"/>
          <w:szCs w:val="24"/>
        </w:rPr>
        <w:t xml:space="preserve">k = 79 </w:t>
      </w:r>
      <w:r w:rsidRPr="00A81D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 = 75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1.665.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 w:rsidR="00BE00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99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5399B">
        <w:rPr>
          <w:rFonts w:ascii="Times New Roman" w:hAnsi="Times New Roman" w:cs="Times New Roman"/>
          <w:sz w:val="24"/>
          <w:szCs w:val="24"/>
        </w:rPr>
        <w:t xml:space="preserve"> </w:t>
      </w:r>
      <w:r w:rsidR="00DB4DC4" w:rsidRPr="00F5399B">
        <w:rPr>
          <w:rFonts w:ascii="Times New Roman" w:hAnsi="Times New Roman" w:cs="Times New Roman"/>
          <w:sz w:val="24"/>
          <w:szCs w:val="24"/>
          <w:lang w:val="en-US"/>
        </w:rPr>
        <w:t>-1,197</w:t>
      </w:r>
      <w:r w:rsidRPr="00F539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399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7C5">
        <w:rPr>
          <w:rFonts w:ascii="Times New Roman" w:hAnsi="Times New Roman" w:cs="Times New Roman"/>
          <w:i/>
          <w:iCs/>
          <w:sz w:val="24"/>
          <w:szCs w:val="24"/>
        </w:rPr>
        <w:t>debt to equity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24F">
        <w:rPr>
          <w:rFonts w:ascii="Times New Roman" w:hAnsi="Times New Roman" w:cs="Times New Roman"/>
          <w:color w:val="FF0000"/>
          <w:sz w:val="24"/>
          <w:szCs w:val="24"/>
        </w:rPr>
        <w:t>berpengaruh</w:t>
      </w:r>
      <w:proofErr w:type="spellEnd"/>
      <w:r w:rsidR="00F56A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56A3D">
        <w:rPr>
          <w:rFonts w:ascii="Times New Roman" w:hAnsi="Times New Roman" w:cs="Times New Roman"/>
          <w:color w:val="FF0000"/>
          <w:sz w:val="24"/>
          <w:szCs w:val="24"/>
        </w:rPr>
        <w:t>negatif</w:t>
      </w:r>
      <w:proofErr w:type="spellEnd"/>
      <w:r w:rsidR="00F56A3D">
        <w:rPr>
          <w:rFonts w:ascii="Times New Roman" w:hAnsi="Times New Roman" w:cs="Times New Roman"/>
          <w:color w:val="FF0000"/>
          <w:sz w:val="24"/>
          <w:szCs w:val="24"/>
        </w:rPr>
        <w:t xml:space="preserve"> dan</w:t>
      </w:r>
      <w:r w:rsidRPr="009D42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B4DC4" w:rsidRPr="00DB4DC4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DB4DC4" w:rsidRPr="00DB4D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5DB80FAD" w14:textId="5B82CF0A" w:rsidR="00466531" w:rsidRPr="00BF10F4" w:rsidRDefault="00D30878" w:rsidP="00540090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Regresi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Linier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Berganda</w:t>
      </w:r>
      <w:proofErr w:type="spellEnd"/>
    </w:p>
    <w:p w14:paraId="5094010D" w14:textId="5821C892" w:rsidR="00C81A08" w:rsidRDefault="004860AF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37D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81A08">
        <w:rPr>
          <w:rFonts w:ascii="Times New Roman" w:hAnsi="Times New Roman" w:cs="Times New Roman"/>
          <w:sz w:val="24"/>
          <w:szCs w:val="24"/>
          <w:lang w:val="en-US"/>
        </w:rPr>
        <w:t>egresi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855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DF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85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F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3B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debt to equity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ratio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2A74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71F" w:rsidRPr="00DF771F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(Z-Score)</w:t>
      </w:r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7F4C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00990" w14:textId="481D8B96" w:rsidR="007F4C72" w:rsidRPr="00010226" w:rsidRDefault="007F4C72" w:rsidP="005400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DB60C9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on equity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(ROE),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quick ratio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(QR), dan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debt to equity ratio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(DER) </w:t>
      </w:r>
      <w:proofErr w:type="spellStart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simultan</w:t>
      </w:r>
      <w:proofErr w:type="spellEnd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010226">
        <w:rPr>
          <w:b/>
          <w:bCs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FB687A" w:rsidRPr="00FB6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Altman 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Z-</w:t>
      </w:r>
      <w:r w:rsidRPr="00AB6E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3"/>
        <w:gridCol w:w="823"/>
        <w:gridCol w:w="1150"/>
        <w:gridCol w:w="1532"/>
        <w:gridCol w:w="1530"/>
        <w:gridCol w:w="849"/>
        <w:gridCol w:w="795"/>
      </w:tblGrid>
      <w:tr w:rsidR="00DE3381" w:rsidRPr="00DE3381" w14:paraId="454CD14F" w14:textId="77777777" w:rsidTr="00540090">
        <w:tc>
          <w:tcPr>
            <w:tcW w:w="1421" w:type="pct"/>
            <w:vMerge w:val="restart"/>
            <w:tcBorders>
              <w:left w:val="nil"/>
              <w:right w:val="nil"/>
            </w:tcBorders>
            <w:vAlign w:val="center"/>
          </w:tcPr>
          <w:p w14:paraId="0A2502BB" w14:textId="159CEE16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3579" w:type="pct"/>
            <w:gridSpan w:val="6"/>
            <w:tcBorders>
              <w:left w:val="nil"/>
              <w:right w:val="nil"/>
            </w:tcBorders>
            <w:vAlign w:val="center"/>
          </w:tcPr>
          <w:p w14:paraId="34D75E63" w14:textId="52CDFE08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DE3381" w:rsidRPr="00DE3381" w14:paraId="57329E21" w14:textId="77777777" w:rsidTr="00540090">
        <w:tc>
          <w:tcPr>
            <w:tcW w:w="1421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05BDFC" w14:textId="77777777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41" w:type="pct"/>
            <w:tcBorders>
              <w:left w:val="nil"/>
              <w:right w:val="nil"/>
            </w:tcBorders>
            <w:vAlign w:val="center"/>
          </w:tcPr>
          <w:p w14:paraId="0E0895CA" w14:textId="2D41F222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616" w:type="pct"/>
            <w:tcBorders>
              <w:left w:val="nil"/>
              <w:right w:val="nil"/>
            </w:tcBorders>
            <w:vAlign w:val="center"/>
          </w:tcPr>
          <w:p w14:paraId="41344019" w14:textId="2D3B498D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 </w:t>
            </w:r>
            <w:r w:rsidRPr="00FB0CA9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Square</w:t>
            </w:r>
          </w:p>
        </w:tc>
        <w:tc>
          <w:tcPr>
            <w:tcW w:w="821" w:type="pct"/>
            <w:tcBorders>
              <w:left w:val="nil"/>
              <w:right w:val="nil"/>
            </w:tcBorders>
            <w:vAlign w:val="center"/>
          </w:tcPr>
          <w:p w14:paraId="6A546B38" w14:textId="2043B270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8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7F8C24" w14:textId="063E7975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45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301021" w14:textId="0F40458B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3381">
              <w:rPr>
                <w:rFonts w:ascii="Times New Roman" w:hAnsi="Times New Roman" w:cs="Times New Roman"/>
                <w:b/>
                <w:bCs/>
                <w:lang w:val="en-US"/>
              </w:rPr>
              <w:t>Sig.</w:t>
            </w:r>
          </w:p>
        </w:tc>
        <w:tc>
          <w:tcPr>
            <w:tcW w:w="425" w:type="pct"/>
            <w:tcBorders>
              <w:left w:val="nil"/>
              <w:right w:val="nil"/>
            </w:tcBorders>
            <w:vAlign w:val="center"/>
          </w:tcPr>
          <w:p w14:paraId="1DE78DAB" w14:textId="469DAD5C" w:rsidR="00DE3381" w:rsidRPr="00DE3381" w:rsidRDefault="0078538A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α</w:t>
            </w:r>
          </w:p>
        </w:tc>
      </w:tr>
      <w:tr w:rsidR="00DE3381" w:rsidRPr="00DE3381" w14:paraId="3E71B8B7" w14:textId="77777777" w:rsidTr="00540090">
        <w:tc>
          <w:tcPr>
            <w:tcW w:w="1421" w:type="pct"/>
            <w:tcBorders>
              <w:left w:val="nil"/>
              <w:bottom w:val="nil"/>
              <w:right w:val="nil"/>
            </w:tcBorders>
          </w:tcPr>
          <w:p w14:paraId="683E9413" w14:textId="7804621A" w:rsidR="00DE3381" w:rsidRPr="00DE3381" w:rsidRDefault="00DE3381" w:rsidP="00DE3381">
            <w:pPr>
              <w:rPr>
                <w:rFonts w:ascii="Times New Roman" w:hAnsi="Times New Roman" w:cs="Times New Roman"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>
              <w:rPr>
                <w:rFonts w:ascii="Times New Roman" w:hAnsi="Times New Roman" w:cs="Times New Roman"/>
                <w:lang w:val="en-US"/>
              </w:rPr>
              <w:t xml:space="preserve"> (ROE)</w:t>
            </w:r>
          </w:p>
        </w:tc>
        <w:tc>
          <w:tcPr>
            <w:tcW w:w="441" w:type="pct"/>
            <w:vMerge w:val="restart"/>
            <w:tcBorders>
              <w:left w:val="nil"/>
              <w:right w:val="nil"/>
            </w:tcBorders>
            <w:vAlign w:val="center"/>
          </w:tcPr>
          <w:p w14:paraId="43C391DE" w14:textId="66985A49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033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355</w:t>
            </w:r>
          </w:p>
        </w:tc>
        <w:tc>
          <w:tcPr>
            <w:tcW w:w="616" w:type="pct"/>
            <w:vMerge w:val="restart"/>
            <w:tcBorders>
              <w:left w:val="nil"/>
              <w:right w:val="nil"/>
            </w:tcBorders>
            <w:vAlign w:val="center"/>
          </w:tcPr>
          <w:p w14:paraId="40BFB9E1" w14:textId="6FBC7ECF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033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821" w:type="pct"/>
            <w:vMerge w:val="restart"/>
            <w:tcBorders>
              <w:left w:val="nil"/>
              <w:right w:val="nil"/>
            </w:tcBorders>
            <w:vAlign w:val="center"/>
          </w:tcPr>
          <w:p w14:paraId="164ACA7A" w14:textId="2DCACD8C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033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052</w:t>
            </w:r>
          </w:p>
        </w:tc>
        <w:tc>
          <w:tcPr>
            <w:tcW w:w="820" w:type="pct"/>
            <w:tcBorders>
              <w:left w:val="nil"/>
              <w:bottom w:val="nil"/>
              <w:right w:val="nil"/>
            </w:tcBorders>
            <w:vAlign w:val="center"/>
          </w:tcPr>
          <w:p w14:paraId="4E4666B6" w14:textId="2BD40C4D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DDF3D63" w14:textId="65F798D8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0,994</w:t>
            </w:r>
          </w:p>
        </w:tc>
        <w:tc>
          <w:tcPr>
            <w:tcW w:w="425" w:type="pct"/>
            <w:vMerge w:val="restart"/>
            <w:tcBorders>
              <w:left w:val="nil"/>
              <w:right w:val="nil"/>
            </w:tcBorders>
            <w:vAlign w:val="center"/>
          </w:tcPr>
          <w:p w14:paraId="78430708" w14:textId="1704FA01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</w:tr>
      <w:tr w:rsidR="00DE3381" w:rsidRPr="00DE3381" w14:paraId="6F84FA62" w14:textId="77777777" w:rsidTr="00540090">
        <w:tc>
          <w:tcPr>
            <w:tcW w:w="1421" w:type="pct"/>
            <w:tcBorders>
              <w:top w:val="nil"/>
              <w:left w:val="nil"/>
              <w:bottom w:val="nil"/>
              <w:right w:val="nil"/>
            </w:tcBorders>
          </w:tcPr>
          <w:p w14:paraId="466E983A" w14:textId="0910996E" w:rsidR="00DE3381" w:rsidRPr="00DE3381" w:rsidRDefault="00DE3381" w:rsidP="00DE3381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 w:rsidRPr="00DE3381">
              <w:rPr>
                <w:rFonts w:ascii="Times New Roman" w:hAnsi="Times New Roman" w:cs="Times New Roman"/>
                <w:lang w:val="en-US"/>
              </w:rPr>
              <w:t xml:space="preserve"> (QR)</w:t>
            </w:r>
          </w:p>
        </w:tc>
        <w:tc>
          <w:tcPr>
            <w:tcW w:w="441" w:type="pct"/>
            <w:vMerge/>
            <w:tcBorders>
              <w:left w:val="nil"/>
              <w:right w:val="nil"/>
            </w:tcBorders>
          </w:tcPr>
          <w:p w14:paraId="1BD2CADB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vMerge/>
            <w:tcBorders>
              <w:left w:val="nil"/>
              <w:right w:val="nil"/>
            </w:tcBorders>
          </w:tcPr>
          <w:p w14:paraId="00BCE89D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pct"/>
            <w:vMerge/>
            <w:tcBorders>
              <w:left w:val="nil"/>
              <w:right w:val="nil"/>
            </w:tcBorders>
          </w:tcPr>
          <w:p w14:paraId="6A34733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547A4" w14:textId="16B09F59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0,429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A6680" w14:textId="39E4B481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0,005</w:t>
            </w:r>
          </w:p>
        </w:tc>
        <w:tc>
          <w:tcPr>
            <w:tcW w:w="425" w:type="pct"/>
            <w:vMerge/>
            <w:tcBorders>
              <w:left w:val="nil"/>
              <w:right w:val="nil"/>
            </w:tcBorders>
          </w:tcPr>
          <w:p w14:paraId="060B032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81" w:rsidRPr="00DE3381" w14:paraId="1B96E076" w14:textId="77777777" w:rsidTr="00540090"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2280A" w14:textId="0138B7E2" w:rsidR="00DE3381" w:rsidRPr="00DE3381" w:rsidRDefault="00DE3381" w:rsidP="00DE3381">
            <w:pPr>
              <w:rPr>
                <w:rFonts w:ascii="Times New Roman" w:hAnsi="Times New Roman" w:cs="Times New Roman"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(DER)</w:t>
            </w:r>
          </w:p>
        </w:tc>
        <w:tc>
          <w:tcPr>
            <w:tcW w:w="44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5E46E31E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083EDC8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046037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00F6C" w14:textId="7A737D9F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C9399" w14:textId="32AD296A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0,984</w:t>
            </w:r>
          </w:p>
        </w:tc>
        <w:tc>
          <w:tcPr>
            <w:tcW w:w="425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4974DF7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76DB" w:rsidRPr="00DE3381" w14:paraId="3933D642" w14:textId="77777777" w:rsidTr="00540090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6F0E1" w14:textId="5D189336" w:rsidR="00F076DB" w:rsidRPr="00DE3381" w:rsidRDefault="00F076DB" w:rsidP="00DE33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40D5">
              <w:rPr>
                <w:rFonts w:ascii="Times New Roman" w:hAnsi="Times New Roman" w:cs="Times New Roman"/>
                <w:b/>
                <w:bCs/>
              </w:rPr>
              <w:t>Pengujian</w:t>
            </w:r>
            <w:proofErr w:type="spellEnd"/>
            <w:r w:rsidRPr="00EF40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F40D5">
              <w:rPr>
                <w:rFonts w:ascii="Times New Roman" w:hAnsi="Times New Roman" w:cs="Times New Roman"/>
                <w:b/>
                <w:bCs/>
              </w:rPr>
              <w:t>Signifikan</w:t>
            </w:r>
            <w:proofErr w:type="spellEnd"/>
          </w:p>
        </w:tc>
      </w:tr>
      <w:tr w:rsidR="00DE3381" w:rsidRPr="00DE3381" w14:paraId="368A6343" w14:textId="77777777" w:rsidTr="00540090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0A6DEF84" w14:textId="1E6E0DF1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DE3381">
              <w:rPr>
                <w:rFonts w:ascii="Times New Roman" w:hAnsi="Times New Roman" w:cs="Times New Roman"/>
                <w:vertAlign w:val="subscript"/>
              </w:rPr>
              <w:t>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DE3381">
              <w:rPr>
                <w:rFonts w:ascii="Times New Roman" w:hAnsi="Times New Roman" w:cs="Times New Roman"/>
                <w:vertAlign w:val="subscript"/>
              </w:rPr>
              <w:t>tabel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 w:rsidR="00723E12">
              <w:rPr>
                <w:rFonts w:ascii="Times New Roman" w:hAnsi="Times New Roman" w:cs="Times New Roman"/>
              </w:rPr>
              <w:t xml:space="preserve"> 3,603 &gt; </w:t>
            </w:r>
            <w:r w:rsidR="001A24A1">
              <w:rPr>
                <w:rFonts w:ascii="Times New Roman" w:hAnsi="Times New Roman" w:cs="Times New Roman"/>
              </w:rPr>
              <w:t>2,</w:t>
            </w:r>
            <w:r w:rsidR="00C342BB">
              <w:rPr>
                <w:rFonts w:ascii="Times New Roman" w:hAnsi="Times New Roman" w:cs="Times New Roman"/>
              </w:rPr>
              <w:t>727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F3FB900" w14:textId="3A9002B9" w:rsidR="007F4C72" w:rsidRPr="008B7FBC" w:rsidRDefault="00DE3381" w:rsidP="005400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FBC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675" w:rsidRPr="008B7FBC">
        <w:rPr>
          <w:rFonts w:ascii="Times New Roman" w:hAnsi="Times New Roman" w:cs="Times New Roman"/>
          <w:sz w:val="24"/>
          <w:szCs w:val="24"/>
          <w:lang w:val="en-US"/>
        </w:rPr>
        <w:t>(Z-</w:t>
      </w:r>
      <w:r w:rsidR="00433675" w:rsidRPr="00AB6E69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 w:rsidR="00433675" w:rsidRPr="008B7F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7A6AB3" w14:textId="460B0040" w:rsidR="00DE3381" w:rsidRPr="00DE3381" w:rsidRDefault="00DE3381" w:rsidP="00540090">
      <w:pPr>
        <w:spacing w:line="480" w:lineRule="auto"/>
        <w:rPr>
          <w:lang w:val="en-US"/>
        </w:rPr>
      </w:pP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7FB05C24" w14:textId="48397F80" w:rsidR="00540090" w:rsidRDefault="000C0332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 w:rsidR="0016099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4860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,355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76DB" w:rsidRPr="002C7F56"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positif</w:t>
      </w:r>
      <w:proofErr w:type="spellEnd"/>
      <w:r w:rsidR="00F076DB" w:rsidRPr="002C7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6158D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15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(DER)</w:t>
      </w:r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BA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712" w:rsidRPr="0019265E">
        <w:rPr>
          <w:rFonts w:ascii="Times New Roman" w:hAnsi="Times New Roman" w:cs="Times New Roman"/>
          <w:sz w:val="24"/>
          <w:szCs w:val="24"/>
          <w:lang w:val="en-US"/>
        </w:rPr>
        <w:t>(Z-</w:t>
      </w:r>
      <w:r w:rsidR="002A6712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 w:rsidR="002A6712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5B3A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3A7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A9D71" w14:textId="77777777" w:rsidR="00540090" w:rsidRDefault="00FB0CA9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determinasi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(R </w:t>
      </w:r>
      <w:r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Square</w:t>
      </w:r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5598">
        <w:rPr>
          <w:rFonts w:ascii="Times New Roman" w:hAnsi="Times New Roman" w:cs="Times New Roman"/>
          <w:sz w:val="24"/>
          <w:szCs w:val="24"/>
          <w:lang w:val="en-US"/>
        </w:rPr>
        <w:t>0,126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62559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12,6%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sisanya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87,4%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disumbangkan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147325F0" w14:textId="443433F9" w:rsidR="00D8227B" w:rsidRDefault="00D8227B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IV.9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D4524">
        <w:rPr>
          <w:rFonts w:ascii="Times New Roman" w:hAnsi="Times New Roman" w:cs="Times New Roman"/>
          <w:sz w:val="24"/>
          <w:szCs w:val="24"/>
          <w:lang w:val="en-US"/>
        </w:rPr>
        <w:t>ersamaan</w:t>
      </w:r>
      <w:proofErr w:type="spellEnd"/>
      <w:r w:rsidR="001D4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452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4B7">
        <w:rPr>
          <w:rFonts w:ascii="Times New Roman" w:hAnsi="Times New Roman" w:cs="Times New Roman"/>
          <w:sz w:val="24"/>
          <w:szCs w:val="24"/>
          <w:lang w:val="en-US"/>
        </w:rPr>
        <w:t xml:space="preserve">linier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81C2AA" w14:textId="56A51B47" w:rsidR="000B5AC3" w:rsidRDefault="001D4524" w:rsidP="005400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0,052 + 0,002X</w:t>
      </w:r>
      <w:r w:rsidRPr="001D45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+ 0,429X</w:t>
      </w:r>
      <w:r w:rsidRPr="001D45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0.001X</w:t>
      </w:r>
      <w:r w:rsidRPr="001D45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14:paraId="59E048F3" w14:textId="77777777" w:rsidR="00540090" w:rsidRDefault="00E852D2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="00C554B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4B7">
        <w:rPr>
          <w:rFonts w:ascii="Times New Roman" w:hAnsi="Times New Roman" w:cs="Times New Roman"/>
          <w:sz w:val="24"/>
          <w:szCs w:val="24"/>
          <w:lang w:val="en-US"/>
        </w:rPr>
        <w:t xml:space="preserve">linier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24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D4524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524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1D4524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1D4524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1D4524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3B0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AB2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3B0" w:rsidRPr="00AB23B0"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positif</w:t>
      </w:r>
      <w:proofErr w:type="spellEnd"/>
      <w:r w:rsidR="00AB23B0" w:rsidRPr="00AB23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B23B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21F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1F1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AB2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527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68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527" w:rsidRPr="00684527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6845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0,052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0D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0D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4310D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D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4310DC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310DC">
        <w:rPr>
          <w:rFonts w:ascii="Times New Roman" w:hAnsi="Times New Roman" w:cs="Times New Roman"/>
          <w:sz w:val="24"/>
          <w:szCs w:val="24"/>
        </w:rPr>
        <w:t xml:space="preserve"> 0,052.</w:t>
      </w:r>
    </w:p>
    <w:p w14:paraId="5BE4A16E" w14:textId="470C5191" w:rsidR="00540090" w:rsidRDefault="004310DC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439F">
        <w:rPr>
          <w:rFonts w:ascii="Times New Roman" w:hAnsi="Times New Roman" w:cs="Times New Roman"/>
          <w:sz w:val="24"/>
          <w:szCs w:val="24"/>
        </w:rPr>
        <w:lastRenderedPageBreak/>
        <w:t>Koefisien</w:t>
      </w:r>
      <w:proofErr w:type="spellEnd"/>
      <w:r w:rsidRPr="008D439F">
        <w:rPr>
          <w:rFonts w:ascii="Times New Roman" w:hAnsi="Times New Roman" w:cs="Times New Roman"/>
          <w:sz w:val="24"/>
          <w:szCs w:val="24"/>
        </w:rPr>
        <w:t xml:space="preserve"> </w:t>
      </w:r>
      <w:r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0,0</w:t>
      </w:r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kali</w:t>
      </w:r>
      <w:r w:rsidR="001B4881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881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5CF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A70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</w:t>
      </w:r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distress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0,002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35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3F635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7F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C73" w:rsidRPr="008D439F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A70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</w:t>
      </w:r>
      <w:r w:rsidR="00FB2A70" w:rsidRPr="0007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0,002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7F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2647F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383C73" w:rsidRPr="008D43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68803B" w14:textId="77777777" w:rsidR="00540090" w:rsidRDefault="00D7114F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BB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5F2278">
        <w:rPr>
          <w:rFonts w:ascii="Times New Roman" w:hAnsi="Times New Roman" w:cs="Times New Roman"/>
          <w:sz w:val="24"/>
          <w:szCs w:val="24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0,429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0,429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5E0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2315E0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0D7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3736DC" w:rsidRPr="00D04BB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736DC" w:rsidRPr="00D04BB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1E6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5E95C" w14:textId="77777777" w:rsidR="00540090" w:rsidRDefault="00140672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BB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5F2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</w:t>
      </w:r>
      <w:r w:rsidR="001140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equity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1404E" w:rsidRPr="0011404E">
        <w:rPr>
          <w:rFonts w:ascii="Times New Roman" w:hAnsi="Times New Roman" w:cs="Times New Roman"/>
          <w:sz w:val="24"/>
          <w:szCs w:val="24"/>
          <w:lang w:val="en-US"/>
        </w:rPr>
        <w:t>-0,001</w:t>
      </w:r>
      <w:r w:rsidR="00114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11404E">
        <w:rPr>
          <w:rFonts w:ascii="Times New Roman" w:hAnsi="Times New Roman" w:cs="Times New Roman"/>
          <w:sz w:val="24"/>
          <w:szCs w:val="24"/>
          <w:lang w:val="en-US"/>
        </w:rPr>
        <w:t>nurun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370A4A">
        <w:rPr>
          <w:rFonts w:ascii="Times New Roman" w:hAnsi="Times New Roman" w:cs="Times New Roman"/>
          <w:sz w:val="24"/>
          <w:szCs w:val="24"/>
          <w:lang w:val="en-US"/>
        </w:rPr>
        <w:t>001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</w:t>
      </w:r>
      <w:r w:rsidR="0011404E">
        <w:rPr>
          <w:rFonts w:ascii="Times New Roman" w:hAnsi="Times New Roman" w:cs="Times New Roman"/>
          <w:i/>
          <w:iCs/>
          <w:sz w:val="24"/>
          <w:szCs w:val="24"/>
          <w:lang w:val="en-US"/>
        </w:rPr>
        <w:t>ck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11404E">
        <w:rPr>
          <w:rFonts w:ascii="Times New Roman" w:hAnsi="Times New Roman" w:cs="Times New Roman"/>
          <w:sz w:val="24"/>
          <w:szCs w:val="24"/>
          <w:lang w:val="en-US"/>
        </w:rPr>
        <w:t>aik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370A4A">
        <w:rPr>
          <w:rFonts w:ascii="Times New Roman" w:hAnsi="Times New Roman" w:cs="Times New Roman"/>
          <w:sz w:val="24"/>
          <w:szCs w:val="24"/>
          <w:lang w:val="en-US"/>
        </w:rPr>
        <w:t>001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AF4EE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r w:rsidR="00A272A6">
        <w:rPr>
          <w:rFonts w:ascii="Times New Roman" w:hAnsi="Times New Roman" w:cs="Times New Roman"/>
          <w:i/>
          <w:iCs/>
          <w:sz w:val="24"/>
          <w:szCs w:val="24"/>
          <w:lang w:val="en-US"/>
        </w:rPr>
        <w:t>ck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BEBD71" w14:textId="23E01808" w:rsidR="00374D92" w:rsidRDefault="00F01991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>return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>equity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 xml:space="preserve">debt </w:t>
      </w:r>
      <w:r>
        <w:rPr>
          <w:rFonts w:ascii="Times New Roman" w:hAnsi="Times New Roman" w:cs="Times New Roman"/>
          <w:i/>
          <w:iCs/>
          <w:sz w:val="24"/>
          <w:szCs w:val="24"/>
        </w:rPr>
        <w:t>to equity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4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A0">
        <w:rPr>
          <w:rFonts w:ascii="Times New Roman" w:hAnsi="Times New Roman" w:cs="Times New Roman"/>
          <w:sz w:val="24"/>
          <w:szCs w:val="24"/>
        </w:rPr>
        <w:t>F</w:t>
      </w:r>
      <w:r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 w:rsidRP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hitung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3,603 yang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 w:rsidRP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tabel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(yang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= n – k – 1 = 79 – 3 – 1 = 75 dan k = n – 1 = 4 – 1 = 3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727">
        <w:rPr>
          <w:rFonts w:ascii="Times New Roman" w:hAnsi="Times New Roman" w:cs="Times New Roman"/>
          <w:sz w:val="24"/>
          <w:szCs w:val="24"/>
          <w:lang w:val="en-US"/>
        </w:rPr>
        <w:t>2,727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 w:rsidRP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hitung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3,603 &gt;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tabel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2,727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D92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374D92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374D92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</w:t>
      </w:r>
      <w:r w:rsidR="00374D92">
        <w:rPr>
          <w:rFonts w:ascii="Times New Roman" w:hAnsi="Times New Roman" w:cs="Times New Roman"/>
          <w:i/>
          <w:iCs/>
          <w:sz w:val="24"/>
          <w:szCs w:val="24"/>
          <w:lang w:val="en-US"/>
        </w:rPr>
        <w:t>ck</w:t>
      </w:r>
      <w:r w:rsidR="00374D92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374D92" w:rsidRPr="00374D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374D92" w:rsidRPr="00374D92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A4F" w:rsidRPr="00BD3A4F"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positif</w:t>
      </w:r>
      <w:proofErr w:type="spellEnd"/>
      <w:r w:rsidR="00BD3A4F" w:rsidRPr="00BD3A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="00374D92" w:rsidRPr="00992016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="00374D92" w:rsidRPr="0099201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D92" w:rsidRPr="00374D92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597942" w14:textId="05C2EE1C" w:rsidR="00466531" w:rsidRPr="00C12670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C126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Pembahasan</w:t>
      </w:r>
      <w:proofErr w:type="spellEnd"/>
    </w:p>
    <w:p w14:paraId="22355D00" w14:textId="0F010D8D" w:rsidR="00466531" w:rsidRPr="00C12670" w:rsidRDefault="00466531" w:rsidP="002168D6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proofErr w:type="spellStart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>Pengaruh</w:t>
      </w:r>
      <w:proofErr w:type="spellEnd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137BA2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Return on Equity</w:t>
      </w:r>
      <w:r w:rsidR="00137BA2"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>ROE</w:t>
      </w:r>
      <w:r w:rsidR="00137BA2" w:rsidRP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>terhadap</w:t>
      </w:r>
      <w:proofErr w:type="spellEnd"/>
      <w:r w:rsidR="00D2061A"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D2061A" w:rsidRPr="00C12670">
        <w:rPr>
          <w:rFonts w:ascii="Times New Roman" w:hAnsi="Times New Roman" w:cs="Times New Roman"/>
          <w:b/>
          <w:bCs/>
          <w:color w:val="auto"/>
          <w:lang w:val="en-US"/>
        </w:rPr>
        <w:t>Indeks</w:t>
      </w:r>
      <w:proofErr w:type="spellEnd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Financial Distress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="00FB687A" w:rsidRPr="00FB687A">
        <w:rPr>
          <w:rFonts w:ascii="Times New Roman" w:hAnsi="Times New Roman" w:cs="Times New Roman"/>
          <w:b/>
          <w:bCs/>
          <w:color w:val="auto"/>
          <w:lang w:val="en-US"/>
        </w:rPr>
        <w:t xml:space="preserve">Altman 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Z-</w:t>
      </w:r>
      <w:r w:rsidR="00C12670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Score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3303E8E9" w14:textId="1D90BDD0" w:rsidR="003A2E3B" w:rsidRDefault="00013C35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C35">
        <w:rPr>
          <w:rFonts w:ascii="Times New Roman" w:hAnsi="Times New Roman" w:cs="Times New Roman"/>
          <w:sz w:val="24"/>
          <w:szCs w:val="24"/>
          <w:lang w:val="en-US"/>
        </w:rPr>
        <w:t>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F6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D9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591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1AC1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390"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3A2E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A2E3B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3A2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A2E3B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3A2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3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3A2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390"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390"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390"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7390"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="00D47390"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="00D473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8357D" w14:textId="01A4FC57" w:rsidR="00B840F9" w:rsidRDefault="00FA0254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>Whitaker (1999)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6598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0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16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C16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16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C35F8" w14:textId="43D4FC24" w:rsidR="00013C35" w:rsidRPr="0085618E" w:rsidRDefault="00B840F9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Pr="00344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739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</w:t>
      </w:r>
      <w:r w:rsidRPr="0085618E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85618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E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31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E45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531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E45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ditolak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10CC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E7C2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E7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Ayu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dkk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(2017)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Erayanti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(2019)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484F" w:rsidRPr="0085618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8FC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484F" w:rsidRPr="0085618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46507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 w:rsidR="0014650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C4484F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1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1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18E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1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18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1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B50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07B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Rikah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(2016),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Desiyanti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(2019), Sarina dan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Lubis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(2020), Samara dan </w:t>
      </w:r>
      <w:proofErr w:type="spellStart"/>
      <w:r w:rsidRPr="0085618E">
        <w:rPr>
          <w:rFonts w:ascii="Times New Roman" w:hAnsi="Times New Roman" w:cs="Times New Roman"/>
          <w:sz w:val="24"/>
          <w:szCs w:val="24"/>
          <w:lang w:val="en-US"/>
        </w:rPr>
        <w:t>Susanti</w:t>
      </w:r>
      <w:proofErr w:type="spellEnd"/>
      <w:r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(2021) </w:t>
      </w:r>
      <w:r w:rsidR="00BD5CB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4C4B5A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162" w:rsidRPr="0085618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F2F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162" w:rsidRPr="0085618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204162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034A0E" w14:textId="77777777" w:rsidR="00382A9D" w:rsidRPr="00013C35" w:rsidRDefault="00382A9D" w:rsidP="00456D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C92BD" w14:textId="644A175E" w:rsidR="00466531" w:rsidRPr="00BF10F4" w:rsidRDefault="00466531" w:rsidP="002168D6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Pengaruh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137BA2"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Quick Ratio 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(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QR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terhadap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>Indeks</w:t>
      </w:r>
      <w:proofErr w:type="spellEnd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Financial Distress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="00FB687A" w:rsidRPr="00FB687A">
        <w:rPr>
          <w:rFonts w:ascii="Times New Roman" w:hAnsi="Times New Roman" w:cs="Times New Roman"/>
          <w:b/>
          <w:bCs/>
          <w:color w:val="auto"/>
          <w:lang w:val="en-US"/>
        </w:rPr>
        <w:t xml:space="preserve">Altman 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Z-</w:t>
      </w:r>
      <w:r w:rsidR="00C12670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Score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09C4CC0C" w14:textId="7BDF7944" w:rsidR="00FC7618" w:rsidRDefault="002555EA" w:rsidP="00FC761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F6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D9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6F5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A156F5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11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1742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B9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655B9D" w:rsidRPr="00655B9D">
        <w:rPr>
          <w:rFonts w:ascii="Times New Roman" w:hAnsi="Times New Roman" w:cs="Times New Roman"/>
          <w:i/>
          <w:iCs/>
          <w:sz w:val="24"/>
          <w:szCs w:val="24"/>
          <w:lang w:val="en-US"/>
        </w:rPr>
        <w:t>inancial distress</w:t>
      </w:r>
      <w:r w:rsidR="006F3C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F3C8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73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lastRenderedPageBreak/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1742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B11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00A0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="0073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00A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3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3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675" w:rsidRPr="005D267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aset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6313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2675">
        <w:rPr>
          <w:rFonts w:ascii="Times New Roman" w:hAnsi="Times New Roman" w:cs="Times New Roman"/>
          <w:sz w:val="24"/>
          <w:szCs w:val="24"/>
          <w:lang w:val="en-US"/>
        </w:rPr>
        <w:t>asio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>
        <w:rPr>
          <w:rFonts w:ascii="Times New Roman" w:hAnsi="Times New Roman" w:cs="Times New Roman"/>
          <w:sz w:val="24"/>
          <w:szCs w:val="24"/>
          <w:lang w:val="en-US"/>
        </w:rPr>
        <w:t>pendek</w:t>
      </w:r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A15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6F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A15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6F5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utang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pinjaman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837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A9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37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dibiarkan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B9D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655B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B9D" w:rsidRPr="00655B9D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7549BE6" w14:textId="4035161B" w:rsidR="00FC7618" w:rsidRDefault="00FC7618" w:rsidP="00FC761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D2A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344D2A" w:rsidRPr="00344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67B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7390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35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73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35AE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35AE" w:rsidRPr="00856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B22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B2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B22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B22">
        <w:rPr>
          <w:rFonts w:ascii="Times New Roman" w:hAnsi="Times New Roman" w:cs="Times New Roman"/>
          <w:sz w:val="24"/>
          <w:szCs w:val="24"/>
          <w:lang w:val="en-US"/>
        </w:rPr>
        <w:t>dit</w:t>
      </w:r>
      <w:r w:rsidR="003B67B1">
        <w:rPr>
          <w:rFonts w:ascii="Times New Roman" w:hAnsi="Times New Roman" w:cs="Times New Roman"/>
          <w:sz w:val="24"/>
          <w:szCs w:val="24"/>
          <w:lang w:val="en-US"/>
        </w:rPr>
        <w:t>erima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725B2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B2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38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9873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609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99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oleh Samara dan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Susanti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(2021)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A53" w:rsidRPr="003A2E3B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A53" w:rsidRPr="003A2E3B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E10A53" w:rsidRPr="00E10A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507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 w:rsidR="0014650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8B6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A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B6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A7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B6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A75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="008B6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A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B6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A7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DA7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E6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1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A53">
        <w:rPr>
          <w:rFonts w:ascii="Times New Roman" w:hAnsi="Times New Roman" w:cs="Times New Roman"/>
          <w:sz w:val="24"/>
          <w:szCs w:val="24"/>
          <w:lang w:val="en-US"/>
        </w:rPr>
        <w:t>dilakuka</w:t>
      </w:r>
      <w:r w:rsidR="00DA7E6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DA7E6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Sari dan Diana (2020),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Erayanti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(2019), Ayu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(2017), </w:t>
      </w:r>
      <w:r w:rsidR="00725B2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Purnomo (2018) </w:t>
      </w:r>
      <w:r w:rsidR="00F5119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4F5356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4F5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86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7390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7390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AC5BB6" w14:textId="23ED9635" w:rsidR="005D2675" w:rsidRDefault="005D2675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928DEB" w14:textId="30DEAB69" w:rsidR="00466531" w:rsidRPr="00BF10F4" w:rsidRDefault="00466531" w:rsidP="002168D6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Pengaruh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137BA2"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Debt to Equity Ratio 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(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DER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terhadap</w:t>
      </w:r>
      <w:proofErr w:type="spellEnd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>Indeks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Financial Distress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="007D43A5" w:rsidRPr="00FB687A">
        <w:rPr>
          <w:rFonts w:ascii="Times New Roman" w:hAnsi="Times New Roman" w:cs="Times New Roman"/>
          <w:b/>
          <w:bCs/>
          <w:color w:val="auto"/>
          <w:lang w:val="en-US"/>
        </w:rPr>
        <w:t xml:space="preserve">Altman 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Z-</w:t>
      </w:r>
      <w:r w:rsidR="00C12670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Score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27FF0799" w14:textId="75627327" w:rsidR="00AA2155" w:rsidRDefault="00E71423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D9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6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4F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70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4F6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9704F6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6F3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3C8A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6B35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B35F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70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4F6" w:rsidRPr="009704F6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6F3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D46A84">
        <w:rPr>
          <w:rFonts w:ascii="Times New Roman" w:hAnsi="Times New Roman" w:cs="Times New Roman"/>
          <w:sz w:val="24"/>
          <w:szCs w:val="24"/>
          <w:lang w:val="en-US"/>
        </w:rPr>
        <w:t>urun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4C36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8B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53A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="00F525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5253A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F5253A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r w:rsidR="00F30CFF" w:rsidRPr="00F30CFF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</w:t>
      </w:r>
      <w:r w:rsidR="00F30CF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7286">
        <w:rPr>
          <w:rFonts w:ascii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pendanaan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kreditur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utang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pendanaan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lastRenderedPageBreak/>
        <w:t>perusahaan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utang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728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3F7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728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3F7286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terjadi</w:t>
      </w:r>
      <w:r w:rsidR="003F728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EC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64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C56">
        <w:rPr>
          <w:rFonts w:ascii="Times New Roman" w:hAnsi="Times New Roman" w:cs="Times New Roman"/>
          <w:sz w:val="24"/>
          <w:szCs w:val="24"/>
          <w:lang w:val="en-US"/>
        </w:rPr>
        <w:t>utangnya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7286">
        <w:rPr>
          <w:rFonts w:ascii="Times New Roman" w:hAnsi="Times New Roman" w:cs="Times New Roman"/>
          <w:sz w:val="24"/>
          <w:szCs w:val="24"/>
          <w:lang w:val="en-US"/>
        </w:rPr>
        <w:t>mendekatkan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7E166A" w:rsidRPr="009A14C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9A14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1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kebangkrutan</w:t>
      </w:r>
      <w:proofErr w:type="spellEnd"/>
      <w:r w:rsidR="00244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447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40CAA8" w14:textId="76DB7AED" w:rsidR="00466531" w:rsidRPr="005215DF" w:rsidRDefault="00AA2155" w:rsidP="005215D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F05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ratio</w:t>
      </w:r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523D6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D6F" w:rsidRPr="0032314B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14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ditolak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99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34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ilakukan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oleh Ayu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dkk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(2017), Sari dan Diana (2020), dan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Erayanti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(2019), Amalia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dkk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(2020) </w:t>
      </w:r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A24"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A24"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</w:t>
      </w:r>
      <w:r w:rsidR="001F4A24"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160EC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 w:rsidR="003160EC" w:rsidRPr="0032314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712B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4650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6507" w:rsidRPr="0032314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F4A2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07DB0" w:rsidRPr="0032314B">
        <w:rPr>
          <w:rFonts w:ascii="Times New Roman" w:hAnsi="Times New Roman" w:cs="Times New Roman"/>
          <w:sz w:val="24"/>
          <w:szCs w:val="24"/>
          <w:lang w:val="en-US"/>
        </w:rPr>
        <w:t>Rikah</w:t>
      </w:r>
      <w:proofErr w:type="spellEnd"/>
      <w:r w:rsidR="00407DB0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(2016)</w:t>
      </w:r>
      <w:r w:rsidR="008C683A" w:rsidRPr="003231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83A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Sarina dan </w:t>
      </w:r>
      <w:proofErr w:type="spellStart"/>
      <w:r w:rsidR="008C683A" w:rsidRPr="0032314B">
        <w:rPr>
          <w:rFonts w:ascii="Times New Roman" w:hAnsi="Times New Roman" w:cs="Times New Roman"/>
          <w:sz w:val="24"/>
          <w:szCs w:val="24"/>
          <w:lang w:val="en-US"/>
        </w:rPr>
        <w:t>Lubis</w:t>
      </w:r>
      <w:proofErr w:type="spellEnd"/>
      <w:r w:rsidR="008C683A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(2020)</w:t>
      </w:r>
      <w:r w:rsidR="008D7C20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8D7C20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Samara dan </w:t>
      </w:r>
      <w:proofErr w:type="spellStart"/>
      <w:r w:rsidR="008D7C20" w:rsidRPr="0032314B">
        <w:rPr>
          <w:rFonts w:ascii="Times New Roman" w:hAnsi="Times New Roman" w:cs="Times New Roman"/>
          <w:sz w:val="24"/>
          <w:szCs w:val="24"/>
          <w:lang w:val="en-US"/>
        </w:rPr>
        <w:t>Susanti</w:t>
      </w:r>
      <w:proofErr w:type="spellEnd"/>
      <w:r w:rsidR="008D7C20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(2021)</w:t>
      </w:r>
      <w:r w:rsidR="008C683A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17ECF" w:rsidRPr="0032314B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817ECF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B6C1D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9C7"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ratio</w:t>
      </w:r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AD6414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CE79C7" w:rsidRPr="00323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9C7" w:rsidRPr="0032314B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AD78D0" w:rsidRPr="003231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66531" w:rsidRPr="005215DF" w:rsidSect="004E6B8A">
      <w:footerReference w:type="default" r:id="rId9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86EB" w14:textId="77777777" w:rsidR="00E62D52" w:rsidRDefault="00E62D52" w:rsidP="003B4583">
      <w:pPr>
        <w:spacing w:after="0" w:line="240" w:lineRule="auto"/>
      </w:pPr>
      <w:r>
        <w:separator/>
      </w:r>
    </w:p>
  </w:endnote>
  <w:endnote w:type="continuationSeparator" w:id="0">
    <w:p w14:paraId="56C71CC5" w14:textId="77777777" w:rsidR="00E62D52" w:rsidRDefault="00E62D52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 New Roma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8FE9" w14:textId="77777777" w:rsidR="00E62D52" w:rsidRDefault="00E62D52" w:rsidP="003B4583">
      <w:pPr>
        <w:spacing w:after="0" w:line="240" w:lineRule="auto"/>
      </w:pPr>
      <w:r>
        <w:separator/>
      </w:r>
    </w:p>
  </w:footnote>
  <w:footnote w:type="continuationSeparator" w:id="0">
    <w:p w14:paraId="3E7853C0" w14:textId="77777777" w:rsidR="00E62D52" w:rsidRDefault="00E62D52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7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1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77331E"/>
    <w:multiLevelType w:val="multilevel"/>
    <w:tmpl w:val="62861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759008">
    <w:abstractNumId w:val="3"/>
  </w:num>
  <w:num w:numId="2" w16cid:durableId="1413310623">
    <w:abstractNumId w:val="18"/>
  </w:num>
  <w:num w:numId="3" w16cid:durableId="179859475">
    <w:abstractNumId w:val="8"/>
  </w:num>
  <w:num w:numId="4" w16cid:durableId="1809282019">
    <w:abstractNumId w:val="20"/>
  </w:num>
  <w:num w:numId="5" w16cid:durableId="2035378252">
    <w:abstractNumId w:val="5"/>
  </w:num>
  <w:num w:numId="6" w16cid:durableId="1270771670">
    <w:abstractNumId w:val="2"/>
  </w:num>
  <w:num w:numId="7" w16cid:durableId="1576745192">
    <w:abstractNumId w:val="1"/>
  </w:num>
  <w:num w:numId="8" w16cid:durableId="28187110">
    <w:abstractNumId w:val="22"/>
  </w:num>
  <w:num w:numId="9" w16cid:durableId="356079676">
    <w:abstractNumId w:val="0"/>
  </w:num>
  <w:num w:numId="10" w16cid:durableId="140267758">
    <w:abstractNumId w:val="10"/>
  </w:num>
  <w:num w:numId="11" w16cid:durableId="319894723">
    <w:abstractNumId w:val="12"/>
  </w:num>
  <w:num w:numId="12" w16cid:durableId="573860484">
    <w:abstractNumId w:val="19"/>
  </w:num>
  <w:num w:numId="13" w16cid:durableId="1249971835">
    <w:abstractNumId w:val="4"/>
  </w:num>
  <w:num w:numId="14" w16cid:durableId="901528489">
    <w:abstractNumId w:val="16"/>
  </w:num>
  <w:num w:numId="15" w16cid:durableId="2090615777">
    <w:abstractNumId w:val="15"/>
  </w:num>
  <w:num w:numId="16" w16cid:durableId="1492519727">
    <w:abstractNumId w:val="11"/>
  </w:num>
  <w:num w:numId="17" w16cid:durableId="2078555779">
    <w:abstractNumId w:val="7"/>
  </w:num>
  <w:num w:numId="18" w16cid:durableId="1131362369">
    <w:abstractNumId w:val="6"/>
  </w:num>
  <w:num w:numId="19" w16cid:durableId="1983342396">
    <w:abstractNumId w:val="21"/>
  </w:num>
  <w:num w:numId="20" w16cid:durableId="223878721">
    <w:abstractNumId w:val="13"/>
  </w:num>
  <w:num w:numId="21" w16cid:durableId="1220826383">
    <w:abstractNumId w:val="17"/>
  </w:num>
  <w:num w:numId="22" w16cid:durableId="1350990193">
    <w:abstractNumId w:val="9"/>
  </w:num>
  <w:num w:numId="23" w16cid:durableId="110129611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1BAC"/>
    <w:rsid w:val="00002009"/>
    <w:rsid w:val="000022BE"/>
    <w:rsid w:val="00006715"/>
    <w:rsid w:val="00006848"/>
    <w:rsid w:val="000076A2"/>
    <w:rsid w:val="00007C58"/>
    <w:rsid w:val="00010226"/>
    <w:rsid w:val="000134DF"/>
    <w:rsid w:val="00013C35"/>
    <w:rsid w:val="00015A68"/>
    <w:rsid w:val="00015E7B"/>
    <w:rsid w:val="00017370"/>
    <w:rsid w:val="00017A05"/>
    <w:rsid w:val="000204C4"/>
    <w:rsid w:val="00020618"/>
    <w:rsid w:val="000212A9"/>
    <w:rsid w:val="00021335"/>
    <w:rsid w:val="00021B48"/>
    <w:rsid w:val="000222B7"/>
    <w:rsid w:val="0002262F"/>
    <w:rsid w:val="00022E39"/>
    <w:rsid w:val="00023328"/>
    <w:rsid w:val="00023B7B"/>
    <w:rsid w:val="00024EF5"/>
    <w:rsid w:val="00025B5C"/>
    <w:rsid w:val="000263A5"/>
    <w:rsid w:val="0002791A"/>
    <w:rsid w:val="00031AFC"/>
    <w:rsid w:val="00032378"/>
    <w:rsid w:val="000324DB"/>
    <w:rsid w:val="00032DAC"/>
    <w:rsid w:val="0003454B"/>
    <w:rsid w:val="00034DF6"/>
    <w:rsid w:val="000351AA"/>
    <w:rsid w:val="00035BDA"/>
    <w:rsid w:val="00040B1D"/>
    <w:rsid w:val="0004210F"/>
    <w:rsid w:val="00043E2A"/>
    <w:rsid w:val="00044F4E"/>
    <w:rsid w:val="00046321"/>
    <w:rsid w:val="00046E14"/>
    <w:rsid w:val="00050576"/>
    <w:rsid w:val="00051821"/>
    <w:rsid w:val="00053E94"/>
    <w:rsid w:val="0005421D"/>
    <w:rsid w:val="00056369"/>
    <w:rsid w:val="0005690F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2F2"/>
    <w:rsid w:val="0007452B"/>
    <w:rsid w:val="00074A03"/>
    <w:rsid w:val="00076093"/>
    <w:rsid w:val="00076654"/>
    <w:rsid w:val="00076786"/>
    <w:rsid w:val="0007679F"/>
    <w:rsid w:val="00080E4D"/>
    <w:rsid w:val="000815CE"/>
    <w:rsid w:val="0008363B"/>
    <w:rsid w:val="00083A1D"/>
    <w:rsid w:val="000855FF"/>
    <w:rsid w:val="000909CE"/>
    <w:rsid w:val="00090F20"/>
    <w:rsid w:val="000920FF"/>
    <w:rsid w:val="000923F0"/>
    <w:rsid w:val="000944A8"/>
    <w:rsid w:val="00095386"/>
    <w:rsid w:val="00095C43"/>
    <w:rsid w:val="0009685F"/>
    <w:rsid w:val="000A2373"/>
    <w:rsid w:val="000A2CDF"/>
    <w:rsid w:val="000A3150"/>
    <w:rsid w:val="000A3B69"/>
    <w:rsid w:val="000A5A65"/>
    <w:rsid w:val="000A62F0"/>
    <w:rsid w:val="000A6802"/>
    <w:rsid w:val="000B01A3"/>
    <w:rsid w:val="000B0274"/>
    <w:rsid w:val="000B1749"/>
    <w:rsid w:val="000B3961"/>
    <w:rsid w:val="000B5645"/>
    <w:rsid w:val="000B5AC3"/>
    <w:rsid w:val="000C0332"/>
    <w:rsid w:val="000C2571"/>
    <w:rsid w:val="000C38E6"/>
    <w:rsid w:val="000C3F4A"/>
    <w:rsid w:val="000C7B20"/>
    <w:rsid w:val="000D3295"/>
    <w:rsid w:val="000D7AA7"/>
    <w:rsid w:val="000D7AF1"/>
    <w:rsid w:val="000E095D"/>
    <w:rsid w:val="000E166B"/>
    <w:rsid w:val="000E1967"/>
    <w:rsid w:val="000E28DC"/>
    <w:rsid w:val="000E3696"/>
    <w:rsid w:val="000E3C14"/>
    <w:rsid w:val="000E57E9"/>
    <w:rsid w:val="000E6759"/>
    <w:rsid w:val="000E7311"/>
    <w:rsid w:val="000F290F"/>
    <w:rsid w:val="000F2CEF"/>
    <w:rsid w:val="000F4C2F"/>
    <w:rsid w:val="000F4E16"/>
    <w:rsid w:val="000F73D6"/>
    <w:rsid w:val="000F73EF"/>
    <w:rsid w:val="000F7407"/>
    <w:rsid w:val="000F7B45"/>
    <w:rsid w:val="0010236F"/>
    <w:rsid w:val="00105545"/>
    <w:rsid w:val="00105E52"/>
    <w:rsid w:val="00110915"/>
    <w:rsid w:val="00112D45"/>
    <w:rsid w:val="00113AA0"/>
    <w:rsid w:val="0011404E"/>
    <w:rsid w:val="00116588"/>
    <w:rsid w:val="001214D9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0BA6"/>
    <w:rsid w:val="00131D0E"/>
    <w:rsid w:val="001331EE"/>
    <w:rsid w:val="00136648"/>
    <w:rsid w:val="001370D7"/>
    <w:rsid w:val="001378DA"/>
    <w:rsid w:val="00137BA2"/>
    <w:rsid w:val="00140033"/>
    <w:rsid w:val="00140533"/>
    <w:rsid w:val="00140672"/>
    <w:rsid w:val="00143365"/>
    <w:rsid w:val="00143567"/>
    <w:rsid w:val="001447E6"/>
    <w:rsid w:val="00146507"/>
    <w:rsid w:val="00150DCF"/>
    <w:rsid w:val="00160997"/>
    <w:rsid w:val="00160FC5"/>
    <w:rsid w:val="001631FA"/>
    <w:rsid w:val="0016467C"/>
    <w:rsid w:val="0016490F"/>
    <w:rsid w:val="00165A65"/>
    <w:rsid w:val="001667B9"/>
    <w:rsid w:val="00167A63"/>
    <w:rsid w:val="00172741"/>
    <w:rsid w:val="001748F5"/>
    <w:rsid w:val="00177087"/>
    <w:rsid w:val="00177652"/>
    <w:rsid w:val="0017769F"/>
    <w:rsid w:val="001779F4"/>
    <w:rsid w:val="00180F3C"/>
    <w:rsid w:val="0018278E"/>
    <w:rsid w:val="0018293E"/>
    <w:rsid w:val="001843DF"/>
    <w:rsid w:val="00187CF5"/>
    <w:rsid w:val="00191627"/>
    <w:rsid w:val="0019265E"/>
    <w:rsid w:val="00192B8E"/>
    <w:rsid w:val="001979A1"/>
    <w:rsid w:val="00197C12"/>
    <w:rsid w:val="001A24A1"/>
    <w:rsid w:val="001B08E5"/>
    <w:rsid w:val="001B14B3"/>
    <w:rsid w:val="001B15BE"/>
    <w:rsid w:val="001B1904"/>
    <w:rsid w:val="001B21C0"/>
    <w:rsid w:val="001B2D72"/>
    <w:rsid w:val="001B4881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6F2"/>
    <w:rsid w:val="001D4524"/>
    <w:rsid w:val="001D68AE"/>
    <w:rsid w:val="001D7A3B"/>
    <w:rsid w:val="001E0EA6"/>
    <w:rsid w:val="001E1945"/>
    <w:rsid w:val="001E2922"/>
    <w:rsid w:val="001E52D6"/>
    <w:rsid w:val="001F1EA8"/>
    <w:rsid w:val="001F205E"/>
    <w:rsid w:val="001F3B00"/>
    <w:rsid w:val="001F4430"/>
    <w:rsid w:val="001F4A24"/>
    <w:rsid w:val="001F6D94"/>
    <w:rsid w:val="00200693"/>
    <w:rsid w:val="00200E4F"/>
    <w:rsid w:val="0020186C"/>
    <w:rsid w:val="00203F37"/>
    <w:rsid w:val="00204162"/>
    <w:rsid w:val="002041E2"/>
    <w:rsid w:val="002067CD"/>
    <w:rsid w:val="00206BD8"/>
    <w:rsid w:val="0021321A"/>
    <w:rsid w:val="00215603"/>
    <w:rsid w:val="00216328"/>
    <w:rsid w:val="00216872"/>
    <w:rsid w:val="002168D6"/>
    <w:rsid w:val="002177F6"/>
    <w:rsid w:val="00220430"/>
    <w:rsid w:val="0022113E"/>
    <w:rsid w:val="00221F1F"/>
    <w:rsid w:val="002257DF"/>
    <w:rsid w:val="002315E0"/>
    <w:rsid w:val="002334A8"/>
    <w:rsid w:val="00234974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477"/>
    <w:rsid w:val="002447E1"/>
    <w:rsid w:val="00244B2E"/>
    <w:rsid w:val="002450ED"/>
    <w:rsid w:val="00247683"/>
    <w:rsid w:val="0025047D"/>
    <w:rsid w:val="00250D71"/>
    <w:rsid w:val="002519C2"/>
    <w:rsid w:val="00252B43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7F3"/>
    <w:rsid w:val="00264895"/>
    <w:rsid w:val="00264992"/>
    <w:rsid w:val="002657BE"/>
    <w:rsid w:val="00265BBE"/>
    <w:rsid w:val="00265EF4"/>
    <w:rsid w:val="00265FB2"/>
    <w:rsid w:val="00267CE1"/>
    <w:rsid w:val="00270108"/>
    <w:rsid w:val="002708A3"/>
    <w:rsid w:val="002712BF"/>
    <w:rsid w:val="00271317"/>
    <w:rsid w:val="00272BEA"/>
    <w:rsid w:val="00272E3D"/>
    <w:rsid w:val="00273AA8"/>
    <w:rsid w:val="002804B2"/>
    <w:rsid w:val="00281313"/>
    <w:rsid w:val="00282CD3"/>
    <w:rsid w:val="00283379"/>
    <w:rsid w:val="00283D02"/>
    <w:rsid w:val="00284252"/>
    <w:rsid w:val="002866D5"/>
    <w:rsid w:val="00287060"/>
    <w:rsid w:val="0029151A"/>
    <w:rsid w:val="0029169F"/>
    <w:rsid w:val="00291EFA"/>
    <w:rsid w:val="002942B7"/>
    <w:rsid w:val="002956DD"/>
    <w:rsid w:val="00297679"/>
    <w:rsid w:val="00297E16"/>
    <w:rsid w:val="002A0815"/>
    <w:rsid w:val="002A1318"/>
    <w:rsid w:val="002A1C11"/>
    <w:rsid w:val="002A2523"/>
    <w:rsid w:val="002A2DD6"/>
    <w:rsid w:val="002A41E6"/>
    <w:rsid w:val="002A6712"/>
    <w:rsid w:val="002A73D1"/>
    <w:rsid w:val="002B060D"/>
    <w:rsid w:val="002B20FB"/>
    <w:rsid w:val="002B44B8"/>
    <w:rsid w:val="002B49D1"/>
    <w:rsid w:val="002B4BC9"/>
    <w:rsid w:val="002B5AE7"/>
    <w:rsid w:val="002B6FE8"/>
    <w:rsid w:val="002B6FED"/>
    <w:rsid w:val="002B7101"/>
    <w:rsid w:val="002B7362"/>
    <w:rsid w:val="002B77A3"/>
    <w:rsid w:val="002B7DB8"/>
    <w:rsid w:val="002C4146"/>
    <w:rsid w:val="002C4CC1"/>
    <w:rsid w:val="002C537C"/>
    <w:rsid w:val="002C7F56"/>
    <w:rsid w:val="002D2145"/>
    <w:rsid w:val="002D2F2A"/>
    <w:rsid w:val="002D3393"/>
    <w:rsid w:val="002D35CE"/>
    <w:rsid w:val="002D395F"/>
    <w:rsid w:val="002E0638"/>
    <w:rsid w:val="002E06BB"/>
    <w:rsid w:val="002E12A0"/>
    <w:rsid w:val="002E1408"/>
    <w:rsid w:val="002E229A"/>
    <w:rsid w:val="002E286D"/>
    <w:rsid w:val="002E5F07"/>
    <w:rsid w:val="002E729F"/>
    <w:rsid w:val="002E7C2F"/>
    <w:rsid w:val="002F054A"/>
    <w:rsid w:val="002F0F5E"/>
    <w:rsid w:val="002F2A77"/>
    <w:rsid w:val="002F37C2"/>
    <w:rsid w:val="002F48B1"/>
    <w:rsid w:val="002F58BB"/>
    <w:rsid w:val="002F7655"/>
    <w:rsid w:val="003009D7"/>
    <w:rsid w:val="00301162"/>
    <w:rsid w:val="00302831"/>
    <w:rsid w:val="00302DD6"/>
    <w:rsid w:val="00304A3D"/>
    <w:rsid w:val="00306AB6"/>
    <w:rsid w:val="0030761F"/>
    <w:rsid w:val="00310386"/>
    <w:rsid w:val="0031510E"/>
    <w:rsid w:val="003160EC"/>
    <w:rsid w:val="00321095"/>
    <w:rsid w:val="0032314B"/>
    <w:rsid w:val="00324F36"/>
    <w:rsid w:val="00325372"/>
    <w:rsid w:val="00326FAE"/>
    <w:rsid w:val="0032743F"/>
    <w:rsid w:val="00330F40"/>
    <w:rsid w:val="00331E9D"/>
    <w:rsid w:val="0033482C"/>
    <w:rsid w:val="00335539"/>
    <w:rsid w:val="003408A9"/>
    <w:rsid w:val="003430A9"/>
    <w:rsid w:val="003437DF"/>
    <w:rsid w:val="003439D4"/>
    <w:rsid w:val="00344763"/>
    <w:rsid w:val="00344CD3"/>
    <w:rsid w:val="00344D2A"/>
    <w:rsid w:val="00346002"/>
    <w:rsid w:val="00350641"/>
    <w:rsid w:val="00352225"/>
    <w:rsid w:val="0035265B"/>
    <w:rsid w:val="00353895"/>
    <w:rsid w:val="003610CC"/>
    <w:rsid w:val="0036731D"/>
    <w:rsid w:val="00367E6E"/>
    <w:rsid w:val="00370A4A"/>
    <w:rsid w:val="0037205A"/>
    <w:rsid w:val="0037219F"/>
    <w:rsid w:val="003736DC"/>
    <w:rsid w:val="00374D55"/>
    <w:rsid w:val="00374D92"/>
    <w:rsid w:val="00375642"/>
    <w:rsid w:val="00376CBA"/>
    <w:rsid w:val="003776EB"/>
    <w:rsid w:val="00377BB8"/>
    <w:rsid w:val="003807C5"/>
    <w:rsid w:val="00381CB0"/>
    <w:rsid w:val="00382A9D"/>
    <w:rsid w:val="0038341F"/>
    <w:rsid w:val="00383C73"/>
    <w:rsid w:val="003866BE"/>
    <w:rsid w:val="00387202"/>
    <w:rsid w:val="00387739"/>
    <w:rsid w:val="00390E11"/>
    <w:rsid w:val="00394629"/>
    <w:rsid w:val="00394A13"/>
    <w:rsid w:val="00396612"/>
    <w:rsid w:val="00396E05"/>
    <w:rsid w:val="00397DD2"/>
    <w:rsid w:val="003A0FED"/>
    <w:rsid w:val="003A1B7B"/>
    <w:rsid w:val="003A1EB5"/>
    <w:rsid w:val="003A2E3B"/>
    <w:rsid w:val="003A539A"/>
    <w:rsid w:val="003B2023"/>
    <w:rsid w:val="003B262C"/>
    <w:rsid w:val="003B4583"/>
    <w:rsid w:val="003B5767"/>
    <w:rsid w:val="003B6671"/>
    <w:rsid w:val="003B67B1"/>
    <w:rsid w:val="003C1BE8"/>
    <w:rsid w:val="003C1CEB"/>
    <w:rsid w:val="003C4E9C"/>
    <w:rsid w:val="003C6DEF"/>
    <w:rsid w:val="003D07C3"/>
    <w:rsid w:val="003D25E0"/>
    <w:rsid w:val="003D2CF6"/>
    <w:rsid w:val="003D4772"/>
    <w:rsid w:val="003D5A8F"/>
    <w:rsid w:val="003D7124"/>
    <w:rsid w:val="003D7CFF"/>
    <w:rsid w:val="003E08E1"/>
    <w:rsid w:val="003E199A"/>
    <w:rsid w:val="003E1EF3"/>
    <w:rsid w:val="003E3150"/>
    <w:rsid w:val="003E3230"/>
    <w:rsid w:val="003E3A85"/>
    <w:rsid w:val="003E4691"/>
    <w:rsid w:val="003E4C7F"/>
    <w:rsid w:val="003E5873"/>
    <w:rsid w:val="003E62F6"/>
    <w:rsid w:val="003E719D"/>
    <w:rsid w:val="003F48BC"/>
    <w:rsid w:val="003F5D8A"/>
    <w:rsid w:val="003F6353"/>
    <w:rsid w:val="003F6728"/>
    <w:rsid w:val="003F7286"/>
    <w:rsid w:val="003F7DDE"/>
    <w:rsid w:val="003F7F3D"/>
    <w:rsid w:val="00401776"/>
    <w:rsid w:val="00401BA9"/>
    <w:rsid w:val="00402ED3"/>
    <w:rsid w:val="00403CF3"/>
    <w:rsid w:val="0040641B"/>
    <w:rsid w:val="00407DB0"/>
    <w:rsid w:val="00407DD8"/>
    <w:rsid w:val="00412EB8"/>
    <w:rsid w:val="00413417"/>
    <w:rsid w:val="00414986"/>
    <w:rsid w:val="00414DDC"/>
    <w:rsid w:val="004153BE"/>
    <w:rsid w:val="00417D8A"/>
    <w:rsid w:val="004235F7"/>
    <w:rsid w:val="0042574E"/>
    <w:rsid w:val="00425D78"/>
    <w:rsid w:val="0042624B"/>
    <w:rsid w:val="00426AEB"/>
    <w:rsid w:val="004310DC"/>
    <w:rsid w:val="00433675"/>
    <w:rsid w:val="004360FD"/>
    <w:rsid w:val="0043776C"/>
    <w:rsid w:val="00437F1C"/>
    <w:rsid w:val="00437FED"/>
    <w:rsid w:val="00441218"/>
    <w:rsid w:val="00441474"/>
    <w:rsid w:val="00441941"/>
    <w:rsid w:val="00441A51"/>
    <w:rsid w:val="00441AE6"/>
    <w:rsid w:val="00442962"/>
    <w:rsid w:val="004439E5"/>
    <w:rsid w:val="00443BC3"/>
    <w:rsid w:val="004458F7"/>
    <w:rsid w:val="00445B1A"/>
    <w:rsid w:val="004464DE"/>
    <w:rsid w:val="00446918"/>
    <w:rsid w:val="00452333"/>
    <w:rsid w:val="004549EB"/>
    <w:rsid w:val="00455655"/>
    <w:rsid w:val="00455BC7"/>
    <w:rsid w:val="00455DC1"/>
    <w:rsid w:val="00456878"/>
    <w:rsid w:val="00456D61"/>
    <w:rsid w:val="00457C63"/>
    <w:rsid w:val="00460D22"/>
    <w:rsid w:val="00463F8E"/>
    <w:rsid w:val="00464EC8"/>
    <w:rsid w:val="00466531"/>
    <w:rsid w:val="00466F46"/>
    <w:rsid w:val="00470EE6"/>
    <w:rsid w:val="00471078"/>
    <w:rsid w:val="0047295E"/>
    <w:rsid w:val="00472DEB"/>
    <w:rsid w:val="0047470F"/>
    <w:rsid w:val="00481746"/>
    <w:rsid w:val="0048206D"/>
    <w:rsid w:val="00485312"/>
    <w:rsid w:val="004860AF"/>
    <w:rsid w:val="0048716E"/>
    <w:rsid w:val="004919D6"/>
    <w:rsid w:val="0049361E"/>
    <w:rsid w:val="00495D77"/>
    <w:rsid w:val="004A12FB"/>
    <w:rsid w:val="004A19A0"/>
    <w:rsid w:val="004A2B35"/>
    <w:rsid w:val="004A55A9"/>
    <w:rsid w:val="004A6007"/>
    <w:rsid w:val="004A6621"/>
    <w:rsid w:val="004A78FC"/>
    <w:rsid w:val="004B0526"/>
    <w:rsid w:val="004C17C3"/>
    <w:rsid w:val="004C1BFC"/>
    <w:rsid w:val="004C4B5A"/>
    <w:rsid w:val="004C5E8D"/>
    <w:rsid w:val="004D1B94"/>
    <w:rsid w:val="004D4B73"/>
    <w:rsid w:val="004D4E2A"/>
    <w:rsid w:val="004D4E90"/>
    <w:rsid w:val="004D5A73"/>
    <w:rsid w:val="004D72BE"/>
    <w:rsid w:val="004D7678"/>
    <w:rsid w:val="004E0D62"/>
    <w:rsid w:val="004E2FDD"/>
    <w:rsid w:val="004E3438"/>
    <w:rsid w:val="004E4CAB"/>
    <w:rsid w:val="004E6B8A"/>
    <w:rsid w:val="004E6EB9"/>
    <w:rsid w:val="004F00EF"/>
    <w:rsid w:val="004F054D"/>
    <w:rsid w:val="004F105F"/>
    <w:rsid w:val="004F2883"/>
    <w:rsid w:val="004F4E25"/>
    <w:rsid w:val="004F5356"/>
    <w:rsid w:val="004F7362"/>
    <w:rsid w:val="004F7568"/>
    <w:rsid w:val="0050128C"/>
    <w:rsid w:val="0050186C"/>
    <w:rsid w:val="005028D0"/>
    <w:rsid w:val="00505076"/>
    <w:rsid w:val="00505197"/>
    <w:rsid w:val="005121F3"/>
    <w:rsid w:val="005121F5"/>
    <w:rsid w:val="00513461"/>
    <w:rsid w:val="00514B5B"/>
    <w:rsid w:val="005151EB"/>
    <w:rsid w:val="005171E5"/>
    <w:rsid w:val="00517B79"/>
    <w:rsid w:val="00517C92"/>
    <w:rsid w:val="00520473"/>
    <w:rsid w:val="00521160"/>
    <w:rsid w:val="005215DF"/>
    <w:rsid w:val="005223C4"/>
    <w:rsid w:val="00523D6F"/>
    <w:rsid w:val="00524603"/>
    <w:rsid w:val="00525437"/>
    <w:rsid w:val="0052674C"/>
    <w:rsid w:val="0052717A"/>
    <w:rsid w:val="00527AD0"/>
    <w:rsid w:val="00530224"/>
    <w:rsid w:val="005302DC"/>
    <w:rsid w:val="00530C49"/>
    <w:rsid w:val="00531CF5"/>
    <w:rsid w:val="00531E45"/>
    <w:rsid w:val="00532403"/>
    <w:rsid w:val="00534A1E"/>
    <w:rsid w:val="00534C3E"/>
    <w:rsid w:val="005355EF"/>
    <w:rsid w:val="0053572B"/>
    <w:rsid w:val="00537228"/>
    <w:rsid w:val="00537877"/>
    <w:rsid w:val="00540090"/>
    <w:rsid w:val="00540DDB"/>
    <w:rsid w:val="00541FCB"/>
    <w:rsid w:val="00543596"/>
    <w:rsid w:val="00543EB9"/>
    <w:rsid w:val="0054572D"/>
    <w:rsid w:val="00545E2C"/>
    <w:rsid w:val="0054645F"/>
    <w:rsid w:val="00550E16"/>
    <w:rsid w:val="00555648"/>
    <w:rsid w:val="00555B0F"/>
    <w:rsid w:val="00556735"/>
    <w:rsid w:val="005618D3"/>
    <w:rsid w:val="00563009"/>
    <w:rsid w:val="00566CB8"/>
    <w:rsid w:val="00566FF6"/>
    <w:rsid w:val="00570410"/>
    <w:rsid w:val="00572C7A"/>
    <w:rsid w:val="00574137"/>
    <w:rsid w:val="0057569C"/>
    <w:rsid w:val="00575FDB"/>
    <w:rsid w:val="0057790F"/>
    <w:rsid w:val="00577AFE"/>
    <w:rsid w:val="00582378"/>
    <w:rsid w:val="0058395C"/>
    <w:rsid w:val="00584B58"/>
    <w:rsid w:val="00584CE9"/>
    <w:rsid w:val="00590780"/>
    <w:rsid w:val="005917F7"/>
    <w:rsid w:val="0059195B"/>
    <w:rsid w:val="00591AC1"/>
    <w:rsid w:val="00592F09"/>
    <w:rsid w:val="005A1D17"/>
    <w:rsid w:val="005A1FFD"/>
    <w:rsid w:val="005A2CCA"/>
    <w:rsid w:val="005A3224"/>
    <w:rsid w:val="005A3E6D"/>
    <w:rsid w:val="005A4778"/>
    <w:rsid w:val="005A4C88"/>
    <w:rsid w:val="005A6A7A"/>
    <w:rsid w:val="005A7BFF"/>
    <w:rsid w:val="005A7DD3"/>
    <w:rsid w:val="005B00E7"/>
    <w:rsid w:val="005B3A73"/>
    <w:rsid w:val="005B3E9D"/>
    <w:rsid w:val="005B4684"/>
    <w:rsid w:val="005B46F9"/>
    <w:rsid w:val="005C34C8"/>
    <w:rsid w:val="005C46B0"/>
    <w:rsid w:val="005C5447"/>
    <w:rsid w:val="005C689B"/>
    <w:rsid w:val="005C76A1"/>
    <w:rsid w:val="005C7C16"/>
    <w:rsid w:val="005D127D"/>
    <w:rsid w:val="005D16FF"/>
    <w:rsid w:val="005D1DF6"/>
    <w:rsid w:val="005D1FC2"/>
    <w:rsid w:val="005D2675"/>
    <w:rsid w:val="005D38B5"/>
    <w:rsid w:val="005D3E8B"/>
    <w:rsid w:val="005D510D"/>
    <w:rsid w:val="005D679F"/>
    <w:rsid w:val="005D6A42"/>
    <w:rsid w:val="005D7B2C"/>
    <w:rsid w:val="005D7C3E"/>
    <w:rsid w:val="005E01C5"/>
    <w:rsid w:val="005E0410"/>
    <w:rsid w:val="005E0FF6"/>
    <w:rsid w:val="005E1A3D"/>
    <w:rsid w:val="005E1B61"/>
    <w:rsid w:val="005E2F07"/>
    <w:rsid w:val="005E32AB"/>
    <w:rsid w:val="005E339B"/>
    <w:rsid w:val="005E3F4F"/>
    <w:rsid w:val="005E64A0"/>
    <w:rsid w:val="005E6ECD"/>
    <w:rsid w:val="005E7B0B"/>
    <w:rsid w:val="005F2278"/>
    <w:rsid w:val="005F3214"/>
    <w:rsid w:val="006046B1"/>
    <w:rsid w:val="0060486C"/>
    <w:rsid w:val="006058D6"/>
    <w:rsid w:val="006068C4"/>
    <w:rsid w:val="00606BEA"/>
    <w:rsid w:val="006076F0"/>
    <w:rsid w:val="00607C7F"/>
    <w:rsid w:val="00611B44"/>
    <w:rsid w:val="00613ABF"/>
    <w:rsid w:val="00613C9D"/>
    <w:rsid w:val="00614DFC"/>
    <w:rsid w:val="00615661"/>
    <w:rsid w:val="006158D5"/>
    <w:rsid w:val="00620C68"/>
    <w:rsid w:val="0062279F"/>
    <w:rsid w:val="00623DD3"/>
    <w:rsid w:val="0062477E"/>
    <w:rsid w:val="00625598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55BC"/>
    <w:rsid w:val="00647053"/>
    <w:rsid w:val="0065077C"/>
    <w:rsid w:val="00650ACC"/>
    <w:rsid w:val="00651644"/>
    <w:rsid w:val="0065168A"/>
    <w:rsid w:val="00651D9D"/>
    <w:rsid w:val="00653B62"/>
    <w:rsid w:val="00654D24"/>
    <w:rsid w:val="0065579F"/>
    <w:rsid w:val="00655B9D"/>
    <w:rsid w:val="0066398C"/>
    <w:rsid w:val="006639A8"/>
    <w:rsid w:val="00664DC0"/>
    <w:rsid w:val="006661B8"/>
    <w:rsid w:val="00670024"/>
    <w:rsid w:val="00672CCC"/>
    <w:rsid w:val="006744C2"/>
    <w:rsid w:val="00680CD7"/>
    <w:rsid w:val="006815B5"/>
    <w:rsid w:val="00682841"/>
    <w:rsid w:val="0068393F"/>
    <w:rsid w:val="0068444C"/>
    <w:rsid w:val="00684527"/>
    <w:rsid w:val="00685733"/>
    <w:rsid w:val="00685A16"/>
    <w:rsid w:val="00687143"/>
    <w:rsid w:val="00692695"/>
    <w:rsid w:val="006941E3"/>
    <w:rsid w:val="00695568"/>
    <w:rsid w:val="00695F11"/>
    <w:rsid w:val="006A231F"/>
    <w:rsid w:val="006A27AF"/>
    <w:rsid w:val="006A5282"/>
    <w:rsid w:val="006A6A6C"/>
    <w:rsid w:val="006A6A71"/>
    <w:rsid w:val="006A6EB5"/>
    <w:rsid w:val="006A750F"/>
    <w:rsid w:val="006A787B"/>
    <w:rsid w:val="006A7CC6"/>
    <w:rsid w:val="006B1203"/>
    <w:rsid w:val="006B35F7"/>
    <w:rsid w:val="006B5052"/>
    <w:rsid w:val="006B7751"/>
    <w:rsid w:val="006C0AE9"/>
    <w:rsid w:val="006C1E45"/>
    <w:rsid w:val="006C2763"/>
    <w:rsid w:val="006C2A15"/>
    <w:rsid w:val="006C3984"/>
    <w:rsid w:val="006C3E8B"/>
    <w:rsid w:val="006C7753"/>
    <w:rsid w:val="006D020E"/>
    <w:rsid w:val="006D033E"/>
    <w:rsid w:val="006D1984"/>
    <w:rsid w:val="006D1A40"/>
    <w:rsid w:val="006D3DE5"/>
    <w:rsid w:val="006E10F3"/>
    <w:rsid w:val="006E24F1"/>
    <w:rsid w:val="006E2815"/>
    <w:rsid w:val="006E5BD7"/>
    <w:rsid w:val="006E6206"/>
    <w:rsid w:val="006E733D"/>
    <w:rsid w:val="006E7995"/>
    <w:rsid w:val="006F067C"/>
    <w:rsid w:val="006F1662"/>
    <w:rsid w:val="006F1AE8"/>
    <w:rsid w:val="006F371D"/>
    <w:rsid w:val="006F3C8A"/>
    <w:rsid w:val="006F5A67"/>
    <w:rsid w:val="006F5B30"/>
    <w:rsid w:val="006F76BB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4B00"/>
    <w:rsid w:val="00716A3E"/>
    <w:rsid w:val="007237F8"/>
    <w:rsid w:val="00723A5C"/>
    <w:rsid w:val="00723E12"/>
    <w:rsid w:val="007247D8"/>
    <w:rsid w:val="00724B6B"/>
    <w:rsid w:val="00724CCB"/>
    <w:rsid w:val="0072588A"/>
    <w:rsid w:val="00725B22"/>
    <w:rsid w:val="00725C70"/>
    <w:rsid w:val="007262BC"/>
    <w:rsid w:val="007269AA"/>
    <w:rsid w:val="007300A0"/>
    <w:rsid w:val="00731722"/>
    <w:rsid w:val="007319E3"/>
    <w:rsid w:val="00732858"/>
    <w:rsid w:val="00733F04"/>
    <w:rsid w:val="00734746"/>
    <w:rsid w:val="00734F07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3D30"/>
    <w:rsid w:val="007442A7"/>
    <w:rsid w:val="00744CDC"/>
    <w:rsid w:val="00744D8B"/>
    <w:rsid w:val="00745D76"/>
    <w:rsid w:val="00747110"/>
    <w:rsid w:val="00747359"/>
    <w:rsid w:val="00747872"/>
    <w:rsid w:val="00747DA1"/>
    <w:rsid w:val="0075082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5F5B"/>
    <w:rsid w:val="007762F1"/>
    <w:rsid w:val="00777656"/>
    <w:rsid w:val="007803B4"/>
    <w:rsid w:val="00780624"/>
    <w:rsid w:val="00780D6A"/>
    <w:rsid w:val="0078288C"/>
    <w:rsid w:val="0078295E"/>
    <w:rsid w:val="007836A8"/>
    <w:rsid w:val="0078373D"/>
    <w:rsid w:val="00784B6D"/>
    <w:rsid w:val="0078538A"/>
    <w:rsid w:val="00785563"/>
    <w:rsid w:val="007857B7"/>
    <w:rsid w:val="00786D0A"/>
    <w:rsid w:val="00787760"/>
    <w:rsid w:val="00787791"/>
    <w:rsid w:val="00790099"/>
    <w:rsid w:val="00790CEC"/>
    <w:rsid w:val="007A0644"/>
    <w:rsid w:val="007A06FB"/>
    <w:rsid w:val="007A1D7F"/>
    <w:rsid w:val="007A2CE2"/>
    <w:rsid w:val="007A3ECD"/>
    <w:rsid w:val="007A4B97"/>
    <w:rsid w:val="007B19F5"/>
    <w:rsid w:val="007B229D"/>
    <w:rsid w:val="007B2AB5"/>
    <w:rsid w:val="007B2CA3"/>
    <w:rsid w:val="007B5E36"/>
    <w:rsid w:val="007C3496"/>
    <w:rsid w:val="007C7031"/>
    <w:rsid w:val="007D2479"/>
    <w:rsid w:val="007D3ACC"/>
    <w:rsid w:val="007D43A5"/>
    <w:rsid w:val="007E166A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1D29"/>
    <w:rsid w:val="008020B7"/>
    <w:rsid w:val="00804C3C"/>
    <w:rsid w:val="00805325"/>
    <w:rsid w:val="00810F81"/>
    <w:rsid w:val="00811542"/>
    <w:rsid w:val="00811CBD"/>
    <w:rsid w:val="00811E53"/>
    <w:rsid w:val="008127C8"/>
    <w:rsid w:val="00815AB1"/>
    <w:rsid w:val="00817ECF"/>
    <w:rsid w:val="00820D13"/>
    <w:rsid w:val="00820E0D"/>
    <w:rsid w:val="008212BC"/>
    <w:rsid w:val="008228DE"/>
    <w:rsid w:val="008237DE"/>
    <w:rsid w:val="00825ABD"/>
    <w:rsid w:val="008269DF"/>
    <w:rsid w:val="00827001"/>
    <w:rsid w:val="00831720"/>
    <w:rsid w:val="0083232E"/>
    <w:rsid w:val="00832AE7"/>
    <w:rsid w:val="00832ECF"/>
    <w:rsid w:val="00833521"/>
    <w:rsid w:val="00834C50"/>
    <w:rsid w:val="00836B80"/>
    <w:rsid w:val="00837A92"/>
    <w:rsid w:val="00842760"/>
    <w:rsid w:val="00843A59"/>
    <w:rsid w:val="0084775A"/>
    <w:rsid w:val="0085042C"/>
    <w:rsid w:val="00851307"/>
    <w:rsid w:val="00852648"/>
    <w:rsid w:val="00852F01"/>
    <w:rsid w:val="0085417D"/>
    <w:rsid w:val="00855715"/>
    <w:rsid w:val="0085618E"/>
    <w:rsid w:val="00856501"/>
    <w:rsid w:val="00857D93"/>
    <w:rsid w:val="00860065"/>
    <w:rsid w:val="008606FA"/>
    <w:rsid w:val="00861179"/>
    <w:rsid w:val="00862B68"/>
    <w:rsid w:val="00863133"/>
    <w:rsid w:val="0086324F"/>
    <w:rsid w:val="008635EA"/>
    <w:rsid w:val="00863BAE"/>
    <w:rsid w:val="00864BD8"/>
    <w:rsid w:val="00865936"/>
    <w:rsid w:val="00865B11"/>
    <w:rsid w:val="00865B51"/>
    <w:rsid w:val="00865F18"/>
    <w:rsid w:val="0086683F"/>
    <w:rsid w:val="00870FF2"/>
    <w:rsid w:val="00871639"/>
    <w:rsid w:val="0087174F"/>
    <w:rsid w:val="0087215F"/>
    <w:rsid w:val="0087367C"/>
    <w:rsid w:val="008751DC"/>
    <w:rsid w:val="0087537F"/>
    <w:rsid w:val="00875924"/>
    <w:rsid w:val="008764B8"/>
    <w:rsid w:val="0087667E"/>
    <w:rsid w:val="00876A96"/>
    <w:rsid w:val="00877DAE"/>
    <w:rsid w:val="0088091A"/>
    <w:rsid w:val="00882BAC"/>
    <w:rsid w:val="00884EA0"/>
    <w:rsid w:val="00885A3C"/>
    <w:rsid w:val="008865BE"/>
    <w:rsid w:val="00891CFE"/>
    <w:rsid w:val="00892B24"/>
    <w:rsid w:val="00895AF1"/>
    <w:rsid w:val="008970DB"/>
    <w:rsid w:val="008A2238"/>
    <w:rsid w:val="008A2A29"/>
    <w:rsid w:val="008A2DC6"/>
    <w:rsid w:val="008A403F"/>
    <w:rsid w:val="008A5EC6"/>
    <w:rsid w:val="008A6404"/>
    <w:rsid w:val="008A6D0F"/>
    <w:rsid w:val="008A6F70"/>
    <w:rsid w:val="008B0CF1"/>
    <w:rsid w:val="008B16A6"/>
    <w:rsid w:val="008B209C"/>
    <w:rsid w:val="008B4C36"/>
    <w:rsid w:val="008B6A75"/>
    <w:rsid w:val="008B7DDF"/>
    <w:rsid w:val="008B7FBC"/>
    <w:rsid w:val="008C2826"/>
    <w:rsid w:val="008C2EE9"/>
    <w:rsid w:val="008C3C92"/>
    <w:rsid w:val="008C4015"/>
    <w:rsid w:val="008C4221"/>
    <w:rsid w:val="008C475B"/>
    <w:rsid w:val="008C4D71"/>
    <w:rsid w:val="008C683A"/>
    <w:rsid w:val="008D439F"/>
    <w:rsid w:val="008D57DB"/>
    <w:rsid w:val="008D5E1E"/>
    <w:rsid w:val="008D656A"/>
    <w:rsid w:val="008D672E"/>
    <w:rsid w:val="008D7C20"/>
    <w:rsid w:val="008E133E"/>
    <w:rsid w:val="008E45AF"/>
    <w:rsid w:val="008E63C3"/>
    <w:rsid w:val="008E6CAD"/>
    <w:rsid w:val="008E7843"/>
    <w:rsid w:val="008E7C21"/>
    <w:rsid w:val="008F02FA"/>
    <w:rsid w:val="008F2428"/>
    <w:rsid w:val="008F2708"/>
    <w:rsid w:val="008F2756"/>
    <w:rsid w:val="008F4347"/>
    <w:rsid w:val="00901556"/>
    <w:rsid w:val="0090162F"/>
    <w:rsid w:val="0090271E"/>
    <w:rsid w:val="00906F54"/>
    <w:rsid w:val="00907869"/>
    <w:rsid w:val="00912E4C"/>
    <w:rsid w:val="0091309D"/>
    <w:rsid w:val="009135D9"/>
    <w:rsid w:val="00914E62"/>
    <w:rsid w:val="0091670E"/>
    <w:rsid w:val="00920A7D"/>
    <w:rsid w:val="00920BF6"/>
    <w:rsid w:val="009210E8"/>
    <w:rsid w:val="009214CB"/>
    <w:rsid w:val="00921842"/>
    <w:rsid w:val="00922E21"/>
    <w:rsid w:val="00923AF9"/>
    <w:rsid w:val="0092624C"/>
    <w:rsid w:val="00930F34"/>
    <w:rsid w:val="00931962"/>
    <w:rsid w:val="00932541"/>
    <w:rsid w:val="00932DB8"/>
    <w:rsid w:val="00932FBB"/>
    <w:rsid w:val="00933D45"/>
    <w:rsid w:val="00934B7A"/>
    <w:rsid w:val="00934EF4"/>
    <w:rsid w:val="00936843"/>
    <w:rsid w:val="009371E7"/>
    <w:rsid w:val="009376AB"/>
    <w:rsid w:val="00940B8C"/>
    <w:rsid w:val="00941318"/>
    <w:rsid w:val="009426E9"/>
    <w:rsid w:val="00945011"/>
    <w:rsid w:val="009461D5"/>
    <w:rsid w:val="0095069D"/>
    <w:rsid w:val="00950C3B"/>
    <w:rsid w:val="00951497"/>
    <w:rsid w:val="00951CBC"/>
    <w:rsid w:val="00951ED9"/>
    <w:rsid w:val="00953136"/>
    <w:rsid w:val="00954A80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704F6"/>
    <w:rsid w:val="0097086C"/>
    <w:rsid w:val="00971AD4"/>
    <w:rsid w:val="00971C4A"/>
    <w:rsid w:val="00972122"/>
    <w:rsid w:val="00972BAA"/>
    <w:rsid w:val="00974EE8"/>
    <w:rsid w:val="0097699D"/>
    <w:rsid w:val="00980056"/>
    <w:rsid w:val="00980306"/>
    <w:rsid w:val="00982BD5"/>
    <w:rsid w:val="00986B09"/>
    <w:rsid w:val="00987230"/>
    <w:rsid w:val="0098738E"/>
    <w:rsid w:val="009873A0"/>
    <w:rsid w:val="009902B5"/>
    <w:rsid w:val="00991506"/>
    <w:rsid w:val="00991DED"/>
    <w:rsid w:val="00992016"/>
    <w:rsid w:val="00992347"/>
    <w:rsid w:val="00992412"/>
    <w:rsid w:val="00992D13"/>
    <w:rsid w:val="00993E64"/>
    <w:rsid w:val="00995231"/>
    <w:rsid w:val="00995785"/>
    <w:rsid w:val="0099609C"/>
    <w:rsid w:val="009A14CA"/>
    <w:rsid w:val="009A273F"/>
    <w:rsid w:val="009A355E"/>
    <w:rsid w:val="009A3A8E"/>
    <w:rsid w:val="009A5A99"/>
    <w:rsid w:val="009A5C80"/>
    <w:rsid w:val="009A75E3"/>
    <w:rsid w:val="009A7C8B"/>
    <w:rsid w:val="009B09FF"/>
    <w:rsid w:val="009B22C8"/>
    <w:rsid w:val="009B2A70"/>
    <w:rsid w:val="009B5CCB"/>
    <w:rsid w:val="009B77F4"/>
    <w:rsid w:val="009C0E05"/>
    <w:rsid w:val="009C1160"/>
    <w:rsid w:val="009C15DE"/>
    <w:rsid w:val="009C2058"/>
    <w:rsid w:val="009C34D3"/>
    <w:rsid w:val="009C35B7"/>
    <w:rsid w:val="009C3E88"/>
    <w:rsid w:val="009C5C05"/>
    <w:rsid w:val="009C6CB5"/>
    <w:rsid w:val="009D1D92"/>
    <w:rsid w:val="009D242D"/>
    <w:rsid w:val="009D3B97"/>
    <w:rsid w:val="009D40AC"/>
    <w:rsid w:val="009D424F"/>
    <w:rsid w:val="009D450F"/>
    <w:rsid w:val="009D451A"/>
    <w:rsid w:val="009D50DE"/>
    <w:rsid w:val="009D6AA2"/>
    <w:rsid w:val="009D7530"/>
    <w:rsid w:val="009D7C93"/>
    <w:rsid w:val="009E1B9B"/>
    <w:rsid w:val="009E24F4"/>
    <w:rsid w:val="009E2D12"/>
    <w:rsid w:val="009E2F9A"/>
    <w:rsid w:val="009E3DCA"/>
    <w:rsid w:val="009E50D3"/>
    <w:rsid w:val="009E69D5"/>
    <w:rsid w:val="009E70E1"/>
    <w:rsid w:val="009E72EC"/>
    <w:rsid w:val="009F118B"/>
    <w:rsid w:val="009F1322"/>
    <w:rsid w:val="009F1BF3"/>
    <w:rsid w:val="009F1C1A"/>
    <w:rsid w:val="009F2720"/>
    <w:rsid w:val="009F76E6"/>
    <w:rsid w:val="009F7743"/>
    <w:rsid w:val="00A00B5A"/>
    <w:rsid w:val="00A021DD"/>
    <w:rsid w:val="00A026B5"/>
    <w:rsid w:val="00A0393A"/>
    <w:rsid w:val="00A03FC0"/>
    <w:rsid w:val="00A0416B"/>
    <w:rsid w:val="00A06135"/>
    <w:rsid w:val="00A067FB"/>
    <w:rsid w:val="00A06DDF"/>
    <w:rsid w:val="00A101B2"/>
    <w:rsid w:val="00A10C8F"/>
    <w:rsid w:val="00A11C1D"/>
    <w:rsid w:val="00A11CC8"/>
    <w:rsid w:val="00A13225"/>
    <w:rsid w:val="00A13AF7"/>
    <w:rsid w:val="00A1437A"/>
    <w:rsid w:val="00A14D17"/>
    <w:rsid w:val="00A15166"/>
    <w:rsid w:val="00A156F5"/>
    <w:rsid w:val="00A166E8"/>
    <w:rsid w:val="00A16E86"/>
    <w:rsid w:val="00A17451"/>
    <w:rsid w:val="00A226A1"/>
    <w:rsid w:val="00A22EF9"/>
    <w:rsid w:val="00A240AE"/>
    <w:rsid w:val="00A2546D"/>
    <w:rsid w:val="00A25BDF"/>
    <w:rsid w:val="00A25CC0"/>
    <w:rsid w:val="00A25D46"/>
    <w:rsid w:val="00A271D6"/>
    <w:rsid w:val="00A272A6"/>
    <w:rsid w:val="00A31566"/>
    <w:rsid w:val="00A32231"/>
    <w:rsid w:val="00A360BC"/>
    <w:rsid w:val="00A36E7A"/>
    <w:rsid w:val="00A37551"/>
    <w:rsid w:val="00A42BA6"/>
    <w:rsid w:val="00A44A7E"/>
    <w:rsid w:val="00A44F8B"/>
    <w:rsid w:val="00A46D9B"/>
    <w:rsid w:val="00A46F24"/>
    <w:rsid w:val="00A4716A"/>
    <w:rsid w:val="00A47529"/>
    <w:rsid w:val="00A47BD1"/>
    <w:rsid w:val="00A47E1B"/>
    <w:rsid w:val="00A52465"/>
    <w:rsid w:val="00A54A16"/>
    <w:rsid w:val="00A54BBA"/>
    <w:rsid w:val="00A55393"/>
    <w:rsid w:val="00A575F1"/>
    <w:rsid w:val="00A61FC7"/>
    <w:rsid w:val="00A628EE"/>
    <w:rsid w:val="00A66CF3"/>
    <w:rsid w:val="00A7243F"/>
    <w:rsid w:val="00A72815"/>
    <w:rsid w:val="00A73816"/>
    <w:rsid w:val="00A7554E"/>
    <w:rsid w:val="00A77373"/>
    <w:rsid w:val="00A81080"/>
    <w:rsid w:val="00A81D47"/>
    <w:rsid w:val="00A81E93"/>
    <w:rsid w:val="00A82DD1"/>
    <w:rsid w:val="00A83FD7"/>
    <w:rsid w:val="00A84C97"/>
    <w:rsid w:val="00A85DBF"/>
    <w:rsid w:val="00A86933"/>
    <w:rsid w:val="00A901F5"/>
    <w:rsid w:val="00A918B7"/>
    <w:rsid w:val="00A92773"/>
    <w:rsid w:val="00A92853"/>
    <w:rsid w:val="00A95D3C"/>
    <w:rsid w:val="00A97BB0"/>
    <w:rsid w:val="00AA0020"/>
    <w:rsid w:val="00AA0DAF"/>
    <w:rsid w:val="00AA180C"/>
    <w:rsid w:val="00AA1ADF"/>
    <w:rsid w:val="00AA1C06"/>
    <w:rsid w:val="00AA1CD3"/>
    <w:rsid w:val="00AA2155"/>
    <w:rsid w:val="00AA47CC"/>
    <w:rsid w:val="00AA4969"/>
    <w:rsid w:val="00AA5DC3"/>
    <w:rsid w:val="00AA689C"/>
    <w:rsid w:val="00AB089A"/>
    <w:rsid w:val="00AB135F"/>
    <w:rsid w:val="00AB236A"/>
    <w:rsid w:val="00AB23B0"/>
    <w:rsid w:val="00AB57D6"/>
    <w:rsid w:val="00AB68D7"/>
    <w:rsid w:val="00AB6E69"/>
    <w:rsid w:val="00AB7B38"/>
    <w:rsid w:val="00AC2B81"/>
    <w:rsid w:val="00AC3B61"/>
    <w:rsid w:val="00AC4234"/>
    <w:rsid w:val="00AC5C10"/>
    <w:rsid w:val="00AC5D74"/>
    <w:rsid w:val="00AC6520"/>
    <w:rsid w:val="00AC7FF9"/>
    <w:rsid w:val="00AD0550"/>
    <w:rsid w:val="00AD29FC"/>
    <w:rsid w:val="00AD2E10"/>
    <w:rsid w:val="00AD2F08"/>
    <w:rsid w:val="00AD398D"/>
    <w:rsid w:val="00AD45E0"/>
    <w:rsid w:val="00AD63F2"/>
    <w:rsid w:val="00AD6414"/>
    <w:rsid w:val="00AD648E"/>
    <w:rsid w:val="00AD6571"/>
    <w:rsid w:val="00AD78D0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4130"/>
    <w:rsid w:val="00AF425A"/>
    <w:rsid w:val="00AF4EE9"/>
    <w:rsid w:val="00AF79A3"/>
    <w:rsid w:val="00B00ED1"/>
    <w:rsid w:val="00B01617"/>
    <w:rsid w:val="00B01E65"/>
    <w:rsid w:val="00B02EB2"/>
    <w:rsid w:val="00B03E2A"/>
    <w:rsid w:val="00B052EB"/>
    <w:rsid w:val="00B11478"/>
    <w:rsid w:val="00B11742"/>
    <w:rsid w:val="00B11956"/>
    <w:rsid w:val="00B12762"/>
    <w:rsid w:val="00B15270"/>
    <w:rsid w:val="00B154F6"/>
    <w:rsid w:val="00B21E6F"/>
    <w:rsid w:val="00B23D81"/>
    <w:rsid w:val="00B2407D"/>
    <w:rsid w:val="00B242D8"/>
    <w:rsid w:val="00B24F41"/>
    <w:rsid w:val="00B25035"/>
    <w:rsid w:val="00B25440"/>
    <w:rsid w:val="00B27192"/>
    <w:rsid w:val="00B274EB"/>
    <w:rsid w:val="00B27D95"/>
    <w:rsid w:val="00B30BEC"/>
    <w:rsid w:val="00B330A8"/>
    <w:rsid w:val="00B34052"/>
    <w:rsid w:val="00B351A8"/>
    <w:rsid w:val="00B35256"/>
    <w:rsid w:val="00B35CE2"/>
    <w:rsid w:val="00B37908"/>
    <w:rsid w:val="00B416A2"/>
    <w:rsid w:val="00B42DA3"/>
    <w:rsid w:val="00B43F05"/>
    <w:rsid w:val="00B44330"/>
    <w:rsid w:val="00B4514E"/>
    <w:rsid w:val="00B4559C"/>
    <w:rsid w:val="00B45BBF"/>
    <w:rsid w:val="00B46772"/>
    <w:rsid w:val="00B507B6"/>
    <w:rsid w:val="00B52D5F"/>
    <w:rsid w:val="00B52E0D"/>
    <w:rsid w:val="00B5378D"/>
    <w:rsid w:val="00B56AD1"/>
    <w:rsid w:val="00B62282"/>
    <w:rsid w:val="00B622E8"/>
    <w:rsid w:val="00B6238F"/>
    <w:rsid w:val="00B62C7F"/>
    <w:rsid w:val="00B63646"/>
    <w:rsid w:val="00B63A53"/>
    <w:rsid w:val="00B63F2F"/>
    <w:rsid w:val="00B6537C"/>
    <w:rsid w:val="00B66AAC"/>
    <w:rsid w:val="00B66D0D"/>
    <w:rsid w:val="00B66F45"/>
    <w:rsid w:val="00B67362"/>
    <w:rsid w:val="00B67982"/>
    <w:rsid w:val="00B67CF5"/>
    <w:rsid w:val="00B729C8"/>
    <w:rsid w:val="00B73DD5"/>
    <w:rsid w:val="00B75AF5"/>
    <w:rsid w:val="00B82925"/>
    <w:rsid w:val="00B840F9"/>
    <w:rsid w:val="00B90290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A4E78"/>
    <w:rsid w:val="00BA50CD"/>
    <w:rsid w:val="00BA6058"/>
    <w:rsid w:val="00BA7883"/>
    <w:rsid w:val="00BA7C20"/>
    <w:rsid w:val="00BB61C1"/>
    <w:rsid w:val="00BC03AB"/>
    <w:rsid w:val="00BC12C4"/>
    <w:rsid w:val="00BC2A99"/>
    <w:rsid w:val="00BC46EE"/>
    <w:rsid w:val="00BC4C83"/>
    <w:rsid w:val="00BC5CE7"/>
    <w:rsid w:val="00BC604F"/>
    <w:rsid w:val="00BC6B25"/>
    <w:rsid w:val="00BD0433"/>
    <w:rsid w:val="00BD1008"/>
    <w:rsid w:val="00BD1ACD"/>
    <w:rsid w:val="00BD3A4F"/>
    <w:rsid w:val="00BD439C"/>
    <w:rsid w:val="00BD4AA9"/>
    <w:rsid w:val="00BD546D"/>
    <w:rsid w:val="00BD5CBA"/>
    <w:rsid w:val="00BD6392"/>
    <w:rsid w:val="00BD7916"/>
    <w:rsid w:val="00BE00D5"/>
    <w:rsid w:val="00BE3472"/>
    <w:rsid w:val="00BE4A44"/>
    <w:rsid w:val="00BE4BD5"/>
    <w:rsid w:val="00BE5CF1"/>
    <w:rsid w:val="00BE7847"/>
    <w:rsid w:val="00BF10F4"/>
    <w:rsid w:val="00BF273D"/>
    <w:rsid w:val="00BF3970"/>
    <w:rsid w:val="00BF3C07"/>
    <w:rsid w:val="00BF3C63"/>
    <w:rsid w:val="00BF42F0"/>
    <w:rsid w:val="00BF6CEE"/>
    <w:rsid w:val="00C0066B"/>
    <w:rsid w:val="00C00DB7"/>
    <w:rsid w:val="00C01717"/>
    <w:rsid w:val="00C01F4F"/>
    <w:rsid w:val="00C02FF8"/>
    <w:rsid w:val="00C063C6"/>
    <w:rsid w:val="00C070D4"/>
    <w:rsid w:val="00C074A7"/>
    <w:rsid w:val="00C07ADA"/>
    <w:rsid w:val="00C07D8A"/>
    <w:rsid w:val="00C100A6"/>
    <w:rsid w:val="00C1070A"/>
    <w:rsid w:val="00C11211"/>
    <w:rsid w:val="00C12670"/>
    <w:rsid w:val="00C153E4"/>
    <w:rsid w:val="00C159A4"/>
    <w:rsid w:val="00C16736"/>
    <w:rsid w:val="00C16B11"/>
    <w:rsid w:val="00C2055D"/>
    <w:rsid w:val="00C21947"/>
    <w:rsid w:val="00C2332E"/>
    <w:rsid w:val="00C24DE4"/>
    <w:rsid w:val="00C25232"/>
    <w:rsid w:val="00C252CB"/>
    <w:rsid w:val="00C27996"/>
    <w:rsid w:val="00C30175"/>
    <w:rsid w:val="00C31A38"/>
    <w:rsid w:val="00C33DF6"/>
    <w:rsid w:val="00C342BB"/>
    <w:rsid w:val="00C34A75"/>
    <w:rsid w:val="00C375C5"/>
    <w:rsid w:val="00C401D3"/>
    <w:rsid w:val="00C402FC"/>
    <w:rsid w:val="00C40B68"/>
    <w:rsid w:val="00C41B21"/>
    <w:rsid w:val="00C4353A"/>
    <w:rsid w:val="00C4484F"/>
    <w:rsid w:val="00C515B2"/>
    <w:rsid w:val="00C51C95"/>
    <w:rsid w:val="00C51CC2"/>
    <w:rsid w:val="00C52D3C"/>
    <w:rsid w:val="00C540FC"/>
    <w:rsid w:val="00C54443"/>
    <w:rsid w:val="00C548E7"/>
    <w:rsid w:val="00C554B7"/>
    <w:rsid w:val="00C55752"/>
    <w:rsid w:val="00C55F64"/>
    <w:rsid w:val="00C568E9"/>
    <w:rsid w:val="00C60267"/>
    <w:rsid w:val="00C60EE8"/>
    <w:rsid w:val="00C61A73"/>
    <w:rsid w:val="00C65F1E"/>
    <w:rsid w:val="00C675B3"/>
    <w:rsid w:val="00C716C3"/>
    <w:rsid w:val="00C717C2"/>
    <w:rsid w:val="00C71E27"/>
    <w:rsid w:val="00C73DC9"/>
    <w:rsid w:val="00C744D7"/>
    <w:rsid w:val="00C74F6C"/>
    <w:rsid w:val="00C76AFD"/>
    <w:rsid w:val="00C80234"/>
    <w:rsid w:val="00C81201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45D6"/>
    <w:rsid w:val="00C94A63"/>
    <w:rsid w:val="00C95FD7"/>
    <w:rsid w:val="00CA1A8C"/>
    <w:rsid w:val="00CA3186"/>
    <w:rsid w:val="00CA5F9E"/>
    <w:rsid w:val="00CA6A72"/>
    <w:rsid w:val="00CA6CBA"/>
    <w:rsid w:val="00CA75FC"/>
    <w:rsid w:val="00CB0196"/>
    <w:rsid w:val="00CB0B32"/>
    <w:rsid w:val="00CB1676"/>
    <w:rsid w:val="00CB1831"/>
    <w:rsid w:val="00CB60A5"/>
    <w:rsid w:val="00CB6192"/>
    <w:rsid w:val="00CC0D63"/>
    <w:rsid w:val="00CC150D"/>
    <w:rsid w:val="00CC163E"/>
    <w:rsid w:val="00CC24C3"/>
    <w:rsid w:val="00CC35CA"/>
    <w:rsid w:val="00CC3D67"/>
    <w:rsid w:val="00CC4D99"/>
    <w:rsid w:val="00CC6465"/>
    <w:rsid w:val="00CC6515"/>
    <w:rsid w:val="00CD0C90"/>
    <w:rsid w:val="00CD0E29"/>
    <w:rsid w:val="00CD141E"/>
    <w:rsid w:val="00CD16B0"/>
    <w:rsid w:val="00CD2EC8"/>
    <w:rsid w:val="00CD3028"/>
    <w:rsid w:val="00CD53C3"/>
    <w:rsid w:val="00CD584F"/>
    <w:rsid w:val="00CD79DE"/>
    <w:rsid w:val="00CD7EE0"/>
    <w:rsid w:val="00CE0398"/>
    <w:rsid w:val="00CE043D"/>
    <w:rsid w:val="00CE1B64"/>
    <w:rsid w:val="00CE21AE"/>
    <w:rsid w:val="00CE24B3"/>
    <w:rsid w:val="00CE34FF"/>
    <w:rsid w:val="00CE4199"/>
    <w:rsid w:val="00CE5AEB"/>
    <w:rsid w:val="00CE61A9"/>
    <w:rsid w:val="00CE62D2"/>
    <w:rsid w:val="00CE6C51"/>
    <w:rsid w:val="00CE79C7"/>
    <w:rsid w:val="00CE7E21"/>
    <w:rsid w:val="00CF0DF4"/>
    <w:rsid w:val="00CF0FB9"/>
    <w:rsid w:val="00CF16F9"/>
    <w:rsid w:val="00CF17D5"/>
    <w:rsid w:val="00CF1FAA"/>
    <w:rsid w:val="00CF2651"/>
    <w:rsid w:val="00D02B09"/>
    <w:rsid w:val="00D046A8"/>
    <w:rsid w:val="00D04BB5"/>
    <w:rsid w:val="00D05A78"/>
    <w:rsid w:val="00D07144"/>
    <w:rsid w:val="00D07169"/>
    <w:rsid w:val="00D11296"/>
    <w:rsid w:val="00D113D3"/>
    <w:rsid w:val="00D14E86"/>
    <w:rsid w:val="00D154DF"/>
    <w:rsid w:val="00D155BC"/>
    <w:rsid w:val="00D1640E"/>
    <w:rsid w:val="00D2061A"/>
    <w:rsid w:val="00D206DE"/>
    <w:rsid w:val="00D209DD"/>
    <w:rsid w:val="00D246C2"/>
    <w:rsid w:val="00D249D6"/>
    <w:rsid w:val="00D24A35"/>
    <w:rsid w:val="00D27F4A"/>
    <w:rsid w:val="00D27FA5"/>
    <w:rsid w:val="00D304DF"/>
    <w:rsid w:val="00D30878"/>
    <w:rsid w:val="00D31282"/>
    <w:rsid w:val="00D312F2"/>
    <w:rsid w:val="00D3133D"/>
    <w:rsid w:val="00D31C0C"/>
    <w:rsid w:val="00D3219E"/>
    <w:rsid w:val="00D34AB0"/>
    <w:rsid w:val="00D449DC"/>
    <w:rsid w:val="00D4500F"/>
    <w:rsid w:val="00D4516D"/>
    <w:rsid w:val="00D45721"/>
    <w:rsid w:val="00D46A84"/>
    <w:rsid w:val="00D46C28"/>
    <w:rsid w:val="00D47052"/>
    <w:rsid w:val="00D47390"/>
    <w:rsid w:val="00D474D0"/>
    <w:rsid w:val="00D47E27"/>
    <w:rsid w:val="00D51705"/>
    <w:rsid w:val="00D52541"/>
    <w:rsid w:val="00D52904"/>
    <w:rsid w:val="00D53915"/>
    <w:rsid w:val="00D55843"/>
    <w:rsid w:val="00D55C65"/>
    <w:rsid w:val="00D60CFC"/>
    <w:rsid w:val="00D61B14"/>
    <w:rsid w:val="00D63C1C"/>
    <w:rsid w:val="00D6500F"/>
    <w:rsid w:val="00D70317"/>
    <w:rsid w:val="00D7114F"/>
    <w:rsid w:val="00D72488"/>
    <w:rsid w:val="00D74744"/>
    <w:rsid w:val="00D75E7D"/>
    <w:rsid w:val="00D8046B"/>
    <w:rsid w:val="00D80F91"/>
    <w:rsid w:val="00D81A3A"/>
    <w:rsid w:val="00D8227B"/>
    <w:rsid w:val="00D87637"/>
    <w:rsid w:val="00D8790E"/>
    <w:rsid w:val="00D87C9F"/>
    <w:rsid w:val="00D90DFD"/>
    <w:rsid w:val="00D91442"/>
    <w:rsid w:val="00D9183A"/>
    <w:rsid w:val="00D92194"/>
    <w:rsid w:val="00D94818"/>
    <w:rsid w:val="00D9553B"/>
    <w:rsid w:val="00D95E13"/>
    <w:rsid w:val="00D95F58"/>
    <w:rsid w:val="00D9639A"/>
    <w:rsid w:val="00D9658C"/>
    <w:rsid w:val="00D96B08"/>
    <w:rsid w:val="00D9764E"/>
    <w:rsid w:val="00DA096F"/>
    <w:rsid w:val="00DA12E7"/>
    <w:rsid w:val="00DA1F2C"/>
    <w:rsid w:val="00DA30B4"/>
    <w:rsid w:val="00DA40EB"/>
    <w:rsid w:val="00DA42AE"/>
    <w:rsid w:val="00DA5D97"/>
    <w:rsid w:val="00DA71B0"/>
    <w:rsid w:val="00DA7E67"/>
    <w:rsid w:val="00DB221C"/>
    <w:rsid w:val="00DB33A2"/>
    <w:rsid w:val="00DB3533"/>
    <w:rsid w:val="00DB411D"/>
    <w:rsid w:val="00DB46BD"/>
    <w:rsid w:val="00DB4DC4"/>
    <w:rsid w:val="00DB60C9"/>
    <w:rsid w:val="00DB75C6"/>
    <w:rsid w:val="00DB7670"/>
    <w:rsid w:val="00DC1CAB"/>
    <w:rsid w:val="00DC25DC"/>
    <w:rsid w:val="00DC4B89"/>
    <w:rsid w:val="00DC5714"/>
    <w:rsid w:val="00DC5DC0"/>
    <w:rsid w:val="00DD0547"/>
    <w:rsid w:val="00DD08E9"/>
    <w:rsid w:val="00DD1261"/>
    <w:rsid w:val="00DD2363"/>
    <w:rsid w:val="00DD3A07"/>
    <w:rsid w:val="00DD436D"/>
    <w:rsid w:val="00DD6C56"/>
    <w:rsid w:val="00DD6D1A"/>
    <w:rsid w:val="00DD77FB"/>
    <w:rsid w:val="00DD7C5C"/>
    <w:rsid w:val="00DE0953"/>
    <w:rsid w:val="00DE3381"/>
    <w:rsid w:val="00DE40F8"/>
    <w:rsid w:val="00DE5150"/>
    <w:rsid w:val="00DE5CBD"/>
    <w:rsid w:val="00DE5EF0"/>
    <w:rsid w:val="00DE5FF7"/>
    <w:rsid w:val="00DF0AAB"/>
    <w:rsid w:val="00DF29F1"/>
    <w:rsid w:val="00DF35FE"/>
    <w:rsid w:val="00DF4894"/>
    <w:rsid w:val="00DF5855"/>
    <w:rsid w:val="00DF5DC0"/>
    <w:rsid w:val="00DF771F"/>
    <w:rsid w:val="00E00848"/>
    <w:rsid w:val="00E01527"/>
    <w:rsid w:val="00E03A4E"/>
    <w:rsid w:val="00E04012"/>
    <w:rsid w:val="00E04E5A"/>
    <w:rsid w:val="00E10A53"/>
    <w:rsid w:val="00E12259"/>
    <w:rsid w:val="00E139D0"/>
    <w:rsid w:val="00E164FB"/>
    <w:rsid w:val="00E17610"/>
    <w:rsid w:val="00E20339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65CF"/>
    <w:rsid w:val="00E36EC6"/>
    <w:rsid w:val="00E371BB"/>
    <w:rsid w:val="00E40C54"/>
    <w:rsid w:val="00E435AC"/>
    <w:rsid w:val="00E44E38"/>
    <w:rsid w:val="00E45287"/>
    <w:rsid w:val="00E4607A"/>
    <w:rsid w:val="00E460EC"/>
    <w:rsid w:val="00E46654"/>
    <w:rsid w:val="00E47768"/>
    <w:rsid w:val="00E5040B"/>
    <w:rsid w:val="00E504BB"/>
    <w:rsid w:val="00E52878"/>
    <w:rsid w:val="00E56898"/>
    <w:rsid w:val="00E6224E"/>
    <w:rsid w:val="00E622CB"/>
    <w:rsid w:val="00E62D52"/>
    <w:rsid w:val="00E63EC9"/>
    <w:rsid w:val="00E64B16"/>
    <w:rsid w:val="00E66164"/>
    <w:rsid w:val="00E66CB4"/>
    <w:rsid w:val="00E66E13"/>
    <w:rsid w:val="00E70CC5"/>
    <w:rsid w:val="00E70DD1"/>
    <w:rsid w:val="00E71423"/>
    <w:rsid w:val="00E71628"/>
    <w:rsid w:val="00E749FC"/>
    <w:rsid w:val="00E822DE"/>
    <w:rsid w:val="00E852D2"/>
    <w:rsid w:val="00E861C7"/>
    <w:rsid w:val="00E876CB"/>
    <w:rsid w:val="00E90BF1"/>
    <w:rsid w:val="00E910BA"/>
    <w:rsid w:val="00E932F8"/>
    <w:rsid w:val="00E94609"/>
    <w:rsid w:val="00E94CA4"/>
    <w:rsid w:val="00E95B3B"/>
    <w:rsid w:val="00EA0D57"/>
    <w:rsid w:val="00EA4372"/>
    <w:rsid w:val="00EA46BD"/>
    <w:rsid w:val="00EA5235"/>
    <w:rsid w:val="00EA7171"/>
    <w:rsid w:val="00EB1CDC"/>
    <w:rsid w:val="00EB2591"/>
    <w:rsid w:val="00EB382C"/>
    <w:rsid w:val="00EB7043"/>
    <w:rsid w:val="00EC2C1F"/>
    <w:rsid w:val="00EC48BB"/>
    <w:rsid w:val="00EC542F"/>
    <w:rsid w:val="00ED1AD3"/>
    <w:rsid w:val="00ED296A"/>
    <w:rsid w:val="00ED4872"/>
    <w:rsid w:val="00ED5173"/>
    <w:rsid w:val="00ED68FF"/>
    <w:rsid w:val="00ED78ED"/>
    <w:rsid w:val="00EE1371"/>
    <w:rsid w:val="00EE1727"/>
    <w:rsid w:val="00EE31B8"/>
    <w:rsid w:val="00EE3AB5"/>
    <w:rsid w:val="00EE5FC0"/>
    <w:rsid w:val="00EF246C"/>
    <w:rsid w:val="00EF3614"/>
    <w:rsid w:val="00EF40D5"/>
    <w:rsid w:val="00EF52EE"/>
    <w:rsid w:val="00EF5786"/>
    <w:rsid w:val="00EF69FD"/>
    <w:rsid w:val="00EF7386"/>
    <w:rsid w:val="00EF748B"/>
    <w:rsid w:val="00F000D2"/>
    <w:rsid w:val="00F01991"/>
    <w:rsid w:val="00F01F05"/>
    <w:rsid w:val="00F05585"/>
    <w:rsid w:val="00F076DB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27AB"/>
    <w:rsid w:val="00F2354B"/>
    <w:rsid w:val="00F24726"/>
    <w:rsid w:val="00F2483B"/>
    <w:rsid w:val="00F2578D"/>
    <w:rsid w:val="00F30CFF"/>
    <w:rsid w:val="00F32543"/>
    <w:rsid w:val="00F33A04"/>
    <w:rsid w:val="00F350CB"/>
    <w:rsid w:val="00F35A3B"/>
    <w:rsid w:val="00F42AFB"/>
    <w:rsid w:val="00F42BFD"/>
    <w:rsid w:val="00F449F6"/>
    <w:rsid w:val="00F4545D"/>
    <w:rsid w:val="00F45594"/>
    <w:rsid w:val="00F46196"/>
    <w:rsid w:val="00F47F04"/>
    <w:rsid w:val="00F5060E"/>
    <w:rsid w:val="00F5119C"/>
    <w:rsid w:val="00F52526"/>
    <w:rsid w:val="00F5253A"/>
    <w:rsid w:val="00F52BDF"/>
    <w:rsid w:val="00F52D93"/>
    <w:rsid w:val="00F5399B"/>
    <w:rsid w:val="00F5448D"/>
    <w:rsid w:val="00F54B47"/>
    <w:rsid w:val="00F5552F"/>
    <w:rsid w:val="00F56A3D"/>
    <w:rsid w:val="00F570E0"/>
    <w:rsid w:val="00F571FA"/>
    <w:rsid w:val="00F57C08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20AD"/>
    <w:rsid w:val="00F735AE"/>
    <w:rsid w:val="00F738FA"/>
    <w:rsid w:val="00F7749F"/>
    <w:rsid w:val="00F779C6"/>
    <w:rsid w:val="00F803B6"/>
    <w:rsid w:val="00F82938"/>
    <w:rsid w:val="00F82A9C"/>
    <w:rsid w:val="00F83B09"/>
    <w:rsid w:val="00F84845"/>
    <w:rsid w:val="00F87931"/>
    <w:rsid w:val="00F87936"/>
    <w:rsid w:val="00F87D52"/>
    <w:rsid w:val="00F90388"/>
    <w:rsid w:val="00F9054E"/>
    <w:rsid w:val="00F92030"/>
    <w:rsid w:val="00F926F1"/>
    <w:rsid w:val="00F94E1D"/>
    <w:rsid w:val="00F974D7"/>
    <w:rsid w:val="00FA0254"/>
    <w:rsid w:val="00FA1392"/>
    <w:rsid w:val="00FA1A3D"/>
    <w:rsid w:val="00FA257D"/>
    <w:rsid w:val="00FA64F4"/>
    <w:rsid w:val="00FB0CA9"/>
    <w:rsid w:val="00FB244F"/>
    <w:rsid w:val="00FB2A70"/>
    <w:rsid w:val="00FB4027"/>
    <w:rsid w:val="00FB6265"/>
    <w:rsid w:val="00FB666B"/>
    <w:rsid w:val="00FB687A"/>
    <w:rsid w:val="00FB6C1D"/>
    <w:rsid w:val="00FB753A"/>
    <w:rsid w:val="00FB7F2C"/>
    <w:rsid w:val="00FC0845"/>
    <w:rsid w:val="00FC1170"/>
    <w:rsid w:val="00FC20C1"/>
    <w:rsid w:val="00FC26A8"/>
    <w:rsid w:val="00FC26D6"/>
    <w:rsid w:val="00FC3821"/>
    <w:rsid w:val="00FC600B"/>
    <w:rsid w:val="00FC7265"/>
    <w:rsid w:val="00FC7618"/>
    <w:rsid w:val="00FD1EB7"/>
    <w:rsid w:val="00FD277E"/>
    <w:rsid w:val="00FD27FC"/>
    <w:rsid w:val="00FD2E59"/>
    <w:rsid w:val="00FD62E6"/>
    <w:rsid w:val="00FD68B2"/>
    <w:rsid w:val="00FE030E"/>
    <w:rsid w:val="00FE3523"/>
    <w:rsid w:val="00FE3BA8"/>
    <w:rsid w:val="00FE4BD2"/>
    <w:rsid w:val="00FE4C3F"/>
    <w:rsid w:val="00FE5429"/>
    <w:rsid w:val="00FE5843"/>
    <w:rsid w:val="00FF03CF"/>
    <w:rsid w:val="00FF1430"/>
    <w:rsid w:val="00FF158D"/>
    <w:rsid w:val="00FF2152"/>
    <w:rsid w:val="00FF2CC3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  <w:style w:type="character" w:customStyle="1" w:styleId="hwtze">
    <w:name w:val="hwtze"/>
    <w:basedOn w:val="DefaultParagraphFont"/>
    <w:rsid w:val="003F5D8A"/>
  </w:style>
  <w:style w:type="character" w:customStyle="1" w:styleId="rynqvb">
    <w:name w:val="rynqvb"/>
    <w:basedOn w:val="DefaultParagraphFont"/>
    <w:rsid w:val="003F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35</Pages>
  <Words>10121</Words>
  <Characters>57691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988</cp:revision>
  <cp:lastPrinted>2021-06-30T11:56:00Z</cp:lastPrinted>
  <dcterms:created xsi:type="dcterms:W3CDTF">2022-07-01T14:15:00Z</dcterms:created>
  <dcterms:modified xsi:type="dcterms:W3CDTF">2022-11-20T12:37:00Z</dcterms:modified>
</cp:coreProperties>
</file>