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53D" w:rsidRDefault="005A0533" w:rsidP="005A0533">
      <w:pPr>
        <w:pStyle w:val="NoSpacing"/>
      </w:pPr>
      <w:r>
        <w:t>Kurva Lorenz</w:t>
      </w:r>
    </w:p>
    <w:p w:rsidR="005A0533" w:rsidRDefault="005A0533" w:rsidP="005A0533">
      <w:pPr>
        <w:pStyle w:val="NoSpacing"/>
      </w:pPr>
      <w:r>
        <w:rPr>
          <w:noProof/>
        </w:rPr>
        <w:drawing>
          <wp:inline distT="0" distB="0" distL="0" distR="0">
            <wp:extent cx="2216989" cy="188444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rva lorenz Gambar Pendapatan Nasional 2.p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403" cy="191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18" w:rsidRDefault="00743C18" w:rsidP="00743C18">
      <w:pPr>
        <w:pStyle w:val="NoSpacing"/>
        <w:jc w:val="both"/>
      </w:pPr>
      <w:r>
        <w:t>Kurva Lorenz menunjukkan hubungan kuantitatif dari persentase penduduk penerima pendapatan dan persentase pendapatan yang benar-benar diterima selama periode tertentu</w:t>
      </w:r>
      <w:r>
        <w:t xml:space="preserve">. </w:t>
      </w:r>
      <w:r>
        <w:t>Sumbu horizontal merupakan persentase kumulatif penduduk sedangkan sumbu vertikalnya melambangkan persentase pendapatan yang diterima masing-masing persentase penduduk. Garis diagonal tengah kurva merupakan “Garis Kemerataan Sempurna”. Semua titik pada garis tersebut merupakan posisi pendapatan didistribusikan secara merata, yaitu persentase penduduk sama dengan persentase penerimaan pendapatan.</w:t>
      </w:r>
      <w:r w:rsidR="009B29C2">
        <w:t xml:space="preserve"> </w:t>
      </w:r>
      <w:r w:rsidR="009B29C2" w:rsidRPr="009B29C2">
        <w:t>Semakin jauh Kurva Lorenz dari garis diagonal, semakin besar ketimpangan distribusi pendapatan yang terjadi. Jika pendapatan didistribusikan merata, semua titik akan terletak di garis diagonal dan tidak akan ada bidang A sehingga nilai koefisien sama dengan nol. Jika hanya satu pihak saja yang menerima pendapatan, luas bidang A akan sama dengan luas segitiga OPE sehingga nilai koefisien adalah satu</w:t>
      </w:r>
      <w:r w:rsidR="009B29C2">
        <w:t>.</w:t>
      </w:r>
    </w:p>
    <w:p w:rsidR="00743C18" w:rsidRDefault="00743C18" w:rsidP="005A0533">
      <w:pPr>
        <w:pStyle w:val="NoSpacing"/>
      </w:pPr>
    </w:p>
    <w:p w:rsidR="005A0533" w:rsidRDefault="005A0533" w:rsidP="005A0533">
      <w:pPr>
        <w:pStyle w:val="NoSpacing"/>
      </w:pPr>
      <w:r>
        <w:t>Koefisien Gini</w:t>
      </w:r>
    </w:p>
    <w:p w:rsidR="005A0533" w:rsidRDefault="00743C18" w:rsidP="00743C18">
      <w:pPr>
        <w:pStyle w:val="NoSpacing"/>
        <w:jc w:val="both"/>
      </w:pPr>
      <w:r>
        <w:t>Koefisien Gini merupakan rasio luas bidang A dengan luas segitiga OPE</w:t>
      </w:r>
      <w:r>
        <w:t xml:space="preserve"> pada Kurva Lorenz. D</w:t>
      </w:r>
      <w:r w:rsidR="009B29C2">
        <w:t>apat disimpulkan bahwa d</w:t>
      </w:r>
      <w:r w:rsidR="005A0533">
        <w:t>istribusi pendapatan akan semakin merata jika nilai Koefisien Gini mendekati nol. Sebaliknya, distribusi pendapatan semakin tidak merata jika nilai Koefisien gini mendekati satu</w:t>
      </w:r>
      <w:r w:rsidR="00241F2D">
        <w:t>.</w:t>
      </w:r>
      <w:bookmarkStart w:id="0" w:name="_GoBack"/>
      <w:bookmarkEnd w:id="0"/>
    </w:p>
    <w:p w:rsidR="005A0533" w:rsidRDefault="00AD2C8E" w:rsidP="005A0533">
      <w:pPr>
        <w:pStyle w:val="NoSpacing"/>
      </w:pPr>
      <w:r>
        <w:t>T</w:t>
      </w:r>
      <w:r w:rsidR="005A0533">
        <w:t>abel standar nilai Koefisien Gini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743C18" w:rsidRPr="005A0533" w:rsidTr="00975371">
        <w:trPr>
          <w:trHeight w:val="440"/>
        </w:trPr>
        <w:tc>
          <w:tcPr>
            <w:tcW w:w="3116" w:type="dxa"/>
            <w:tcBorders>
              <w:bottom w:val="single" w:sz="4" w:space="0" w:color="auto"/>
            </w:tcBorders>
            <w:vAlign w:val="center"/>
          </w:tcPr>
          <w:p w:rsidR="00743C18" w:rsidRPr="005A0533" w:rsidRDefault="00743C18" w:rsidP="00866C31">
            <w:pPr>
              <w:pStyle w:val="NoSpacing"/>
              <w:jc w:val="center"/>
            </w:pPr>
            <w:r>
              <w:t>Koefisien Gini</w:t>
            </w:r>
          </w:p>
        </w:tc>
        <w:tc>
          <w:tcPr>
            <w:tcW w:w="6234" w:type="dxa"/>
            <w:tcBorders>
              <w:bottom w:val="single" w:sz="4" w:space="0" w:color="auto"/>
            </w:tcBorders>
            <w:vAlign w:val="center"/>
          </w:tcPr>
          <w:p w:rsidR="00743C18" w:rsidRPr="005A0533" w:rsidRDefault="00743C18" w:rsidP="00866C31">
            <w:pPr>
              <w:pStyle w:val="NoSpacing"/>
              <w:jc w:val="center"/>
            </w:pPr>
            <w:r>
              <w:t>Distribusi Pendapatan</w:t>
            </w:r>
          </w:p>
        </w:tc>
      </w:tr>
      <w:tr w:rsidR="00743C18" w:rsidTr="00743C18">
        <w:tc>
          <w:tcPr>
            <w:tcW w:w="3116" w:type="dxa"/>
            <w:tcBorders>
              <w:top w:val="nil"/>
              <w:bottom w:val="nil"/>
            </w:tcBorders>
          </w:tcPr>
          <w:p w:rsidR="00743C18" w:rsidRDefault="00743C18" w:rsidP="00866C31">
            <w:pPr>
              <w:pStyle w:val="NoSpacing"/>
              <w:jc w:val="center"/>
            </w:pPr>
            <w:r>
              <w:t xml:space="preserve">Lebih kecil dari 0,4 </w:t>
            </w:r>
          </w:p>
        </w:tc>
        <w:tc>
          <w:tcPr>
            <w:tcW w:w="6234" w:type="dxa"/>
            <w:tcBorders>
              <w:top w:val="nil"/>
              <w:bottom w:val="nil"/>
            </w:tcBorders>
          </w:tcPr>
          <w:p w:rsidR="00743C18" w:rsidRDefault="00743C18" w:rsidP="00743C18">
            <w:pPr>
              <w:pStyle w:val="NoSpacing"/>
              <w:jc w:val="center"/>
            </w:pPr>
            <w:r>
              <w:t>Tingkat retimpangan rendah</w:t>
            </w:r>
          </w:p>
        </w:tc>
      </w:tr>
      <w:tr w:rsidR="00743C18" w:rsidTr="00743C18">
        <w:tc>
          <w:tcPr>
            <w:tcW w:w="3116" w:type="dxa"/>
            <w:tcBorders>
              <w:top w:val="nil"/>
              <w:bottom w:val="nil"/>
            </w:tcBorders>
          </w:tcPr>
          <w:p w:rsidR="00743C18" w:rsidRDefault="00743C18" w:rsidP="00866C31">
            <w:pPr>
              <w:pStyle w:val="NoSpacing"/>
              <w:jc w:val="center"/>
            </w:pPr>
            <w:r>
              <w:t>0,4 – 0,5</w:t>
            </w:r>
          </w:p>
        </w:tc>
        <w:tc>
          <w:tcPr>
            <w:tcW w:w="6234" w:type="dxa"/>
            <w:tcBorders>
              <w:top w:val="nil"/>
              <w:bottom w:val="nil"/>
            </w:tcBorders>
          </w:tcPr>
          <w:p w:rsidR="00743C18" w:rsidRDefault="00743C18" w:rsidP="00743C18">
            <w:pPr>
              <w:pStyle w:val="NoSpacing"/>
              <w:jc w:val="center"/>
            </w:pPr>
            <w:r>
              <w:t>Tingkat ketimpangan sedang</w:t>
            </w:r>
          </w:p>
        </w:tc>
      </w:tr>
      <w:tr w:rsidR="00743C18" w:rsidTr="00550103">
        <w:tc>
          <w:tcPr>
            <w:tcW w:w="3116" w:type="dxa"/>
            <w:tcBorders>
              <w:top w:val="nil"/>
            </w:tcBorders>
          </w:tcPr>
          <w:p w:rsidR="00743C18" w:rsidRDefault="00743C18" w:rsidP="00866C31">
            <w:pPr>
              <w:pStyle w:val="NoSpacing"/>
              <w:jc w:val="center"/>
            </w:pPr>
            <w:r>
              <w:t>Lebih besar dari 0,5</w:t>
            </w:r>
          </w:p>
        </w:tc>
        <w:tc>
          <w:tcPr>
            <w:tcW w:w="6234" w:type="dxa"/>
            <w:tcBorders>
              <w:top w:val="nil"/>
            </w:tcBorders>
          </w:tcPr>
          <w:p w:rsidR="00743C18" w:rsidRDefault="00743C18" w:rsidP="00743C18">
            <w:pPr>
              <w:pStyle w:val="NoSpacing"/>
              <w:jc w:val="center"/>
            </w:pPr>
            <w:r>
              <w:t>Tingkat ketimpangan tinggi</w:t>
            </w:r>
          </w:p>
        </w:tc>
      </w:tr>
    </w:tbl>
    <w:p w:rsidR="005A0533" w:rsidRDefault="005A0533" w:rsidP="005A0533">
      <w:pPr>
        <w:pStyle w:val="NoSpacing"/>
      </w:pPr>
    </w:p>
    <w:p w:rsidR="005A0533" w:rsidRDefault="005A0533" w:rsidP="005A0533">
      <w:pPr>
        <w:pStyle w:val="NoSpacing"/>
      </w:pPr>
      <w:r>
        <w:t xml:space="preserve">Kriteria Bank Dunia </w:t>
      </w:r>
    </w:p>
    <w:p w:rsidR="005A0533" w:rsidRDefault="005A0533" w:rsidP="00743C18">
      <w:pPr>
        <w:pStyle w:val="NoSpacing"/>
        <w:jc w:val="both"/>
      </w:pPr>
      <w:r>
        <w:t xml:space="preserve">Untuk </w:t>
      </w:r>
      <w:r w:rsidRPr="005A0533">
        <w:t>menghitung distribusi pendapatan nasional menggunakan kriteria yang telah ditetapkan oleh Bank Dunia</w:t>
      </w:r>
      <w:r>
        <w:t xml:space="preserve"> adalah dengan </w:t>
      </w:r>
      <w:r w:rsidRPr="005A0533">
        <w:t>menghitung besarnya kontribusi dari 40% penduduk termiskin terhadap pendapatan atau pengeluaran nasional. Kriteria tersebut dapat dilihat dalam tabel berikut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5A0533" w:rsidRPr="005A0533" w:rsidTr="005A0533">
        <w:trPr>
          <w:trHeight w:val="440"/>
        </w:trPr>
        <w:tc>
          <w:tcPr>
            <w:tcW w:w="6835" w:type="dxa"/>
            <w:tcBorders>
              <w:bottom w:val="single" w:sz="4" w:space="0" w:color="auto"/>
            </w:tcBorders>
            <w:vAlign w:val="center"/>
          </w:tcPr>
          <w:p w:rsidR="005A0533" w:rsidRPr="005A0533" w:rsidRDefault="005A0533" w:rsidP="005A0533">
            <w:pPr>
              <w:pStyle w:val="NoSpacing"/>
              <w:jc w:val="center"/>
            </w:pPr>
            <w:r w:rsidRPr="005A0533">
              <w:t>Distribusi Pendapatan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:rsidR="005A0533" w:rsidRPr="005A0533" w:rsidRDefault="005A0533" w:rsidP="005A0533">
            <w:pPr>
              <w:pStyle w:val="NoSpacing"/>
              <w:jc w:val="center"/>
            </w:pPr>
            <w:r w:rsidRPr="005A0533">
              <w:t>Tingkat Ketimpangan</w:t>
            </w:r>
          </w:p>
        </w:tc>
      </w:tr>
      <w:tr w:rsidR="005A0533" w:rsidTr="005A0533">
        <w:tc>
          <w:tcPr>
            <w:tcW w:w="6835" w:type="dxa"/>
            <w:tcBorders>
              <w:bottom w:val="nil"/>
            </w:tcBorders>
          </w:tcPr>
          <w:p w:rsidR="005A0533" w:rsidRDefault="005A0533" w:rsidP="005A0533">
            <w:pPr>
              <w:pStyle w:val="NoSpacing"/>
            </w:pPr>
            <w:r>
              <w:t>Kelompok 40% penduduk termiskin &lt; 12% dari total pengeluaran</w:t>
            </w:r>
          </w:p>
        </w:tc>
        <w:tc>
          <w:tcPr>
            <w:tcW w:w="2515" w:type="dxa"/>
            <w:tcBorders>
              <w:bottom w:val="nil"/>
            </w:tcBorders>
          </w:tcPr>
          <w:p w:rsidR="005A0533" w:rsidRDefault="005A0533" w:rsidP="005A0533">
            <w:pPr>
              <w:pStyle w:val="NoSpacing"/>
              <w:jc w:val="center"/>
            </w:pPr>
            <w:r>
              <w:t>Tinggi</w:t>
            </w:r>
          </w:p>
        </w:tc>
      </w:tr>
      <w:tr w:rsidR="005A0533" w:rsidTr="005A0533">
        <w:tc>
          <w:tcPr>
            <w:tcW w:w="6835" w:type="dxa"/>
            <w:tcBorders>
              <w:top w:val="nil"/>
              <w:bottom w:val="nil"/>
            </w:tcBorders>
          </w:tcPr>
          <w:p w:rsidR="005A0533" w:rsidRDefault="005A0533" w:rsidP="005A0533">
            <w:pPr>
              <w:pStyle w:val="NoSpacing"/>
            </w:pPr>
            <w:r>
              <w:t>Kelompok 40% penduduk termiskin 12% - 17% dari total pengeluara</w:t>
            </w:r>
            <w:r>
              <w:t>n</w:t>
            </w:r>
          </w:p>
        </w:tc>
        <w:tc>
          <w:tcPr>
            <w:tcW w:w="2515" w:type="dxa"/>
            <w:tcBorders>
              <w:top w:val="nil"/>
              <w:bottom w:val="nil"/>
            </w:tcBorders>
          </w:tcPr>
          <w:p w:rsidR="005A0533" w:rsidRDefault="005A0533" w:rsidP="005A0533">
            <w:pPr>
              <w:pStyle w:val="NoSpacing"/>
              <w:jc w:val="center"/>
            </w:pPr>
            <w:r>
              <w:t>Sedang</w:t>
            </w:r>
          </w:p>
        </w:tc>
      </w:tr>
      <w:tr w:rsidR="005A0533" w:rsidTr="005A0533">
        <w:tc>
          <w:tcPr>
            <w:tcW w:w="6835" w:type="dxa"/>
            <w:tcBorders>
              <w:top w:val="nil"/>
            </w:tcBorders>
          </w:tcPr>
          <w:p w:rsidR="005A0533" w:rsidRDefault="005A0533" w:rsidP="005A0533">
            <w:pPr>
              <w:pStyle w:val="NoSpacing"/>
            </w:pPr>
            <w:r>
              <w:t>Kelompok 40% penduduk termiskin &gt; 17% dari total pengeluaran</w:t>
            </w:r>
          </w:p>
        </w:tc>
        <w:tc>
          <w:tcPr>
            <w:tcW w:w="2515" w:type="dxa"/>
            <w:tcBorders>
              <w:top w:val="nil"/>
            </w:tcBorders>
          </w:tcPr>
          <w:p w:rsidR="005A0533" w:rsidRDefault="005A0533" w:rsidP="005A0533">
            <w:pPr>
              <w:pStyle w:val="NoSpacing"/>
              <w:jc w:val="center"/>
            </w:pPr>
            <w:r>
              <w:t>Rendah</w:t>
            </w:r>
          </w:p>
        </w:tc>
      </w:tr>
    </w:tbl>
    <w:p w:rsidR="005A0533" w:rsidRDefault="005A0533" w:rsidP="005A0533">
      <w:pPr>
        <w:pStyle w:val="NoSpacing"/>
      </w:pPr>
    </w:p>
    <w:sectPr w:rsidR="005A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33"/>
    <w:rsid w:val="00241F2D"/>
    <w:rsid w:val="005A0533"/>
    <w:rsid w:val="00743C18"/>
    <w:rsid w:val="009B29C2"/>
    <w:rsid w:val="00AD2C8E"/>
    <w:rsid w:val="00F4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85607-BCFE-4CE3-92C5-0B167231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0533"/>
    <w:pPr>
      <w:spacing w:after="0" w:line="240" w:lineRule="auto"/>
    </w:pPr>
  </w:style>
  <w:style w:type="table" w:styleId="TableGrid">
    <w:name w:val="Table Grid"/>
    <w:basedOn w:val="TableNormal"/>
    <w:uiPriority w:val="39"/>
    <w:rsid w:val="005A05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turahane agus</dc:creator>
  <cp:keywords/>
  <dc:description/>
  <cp:lastModifiedBy>turahane agus</cp:lastModifiedBy>
  <cp:revision>4</cp:revision>
  <dcterms:created xsi:type="dcterms:W3CDTF">2018-12-21T04:12:00Z</dcterms:created>
  <dcterms:modified xsi:type="dcterms:W3CDTF">2018-12-21T04:29:00Z</dcterms:modified>
</cp:coreProperties>
</file>